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B5F7" w14:textId="2FCE485C" w:rsidR="007D548D" w:rsidRDefault="00F21A70" w:rsidP="007D548D">
      <w:pPr>
        <w:spacing w:before="200" w:after="200"/>
        <w:jc w:val="center"/>
        <w:rPr>
          <w:b/>
          <w:bCs/>
          <w:w w:val="105"/>
          <w:sz w:val="28"/>
          <w:szCs w:val="24"/>
        </w:rPr>
      </w:pPr>
      <w:r w:rsidRPr="00C17CEE">
        <w:rPr>
          <w:b/>
          <w:bCs/>
          <w:w w:val="105"/>
          <w:sz w:val="28"/>
          <w:szCs w:val="24"/>
        </w:rPr>
        <w:t xml:space="preserve">Effect </w:t>
      </w:r>
      <w:r w:rsidRPr="00C17CEE">
        <w:rPr>
          <w:b/>
          <w:bCs/>
          <w:color w:val="0E0E0E"/>
          <w:w w:val="105"/>
          <w:sz w:val="28"/>
          <w:szCs w:val="24"/>
        </w:rPr>
        <w:t xml:space="preserve">of </w:t>
      </w:r>
      <w:r w:rsidRPr="00C17CEE">
        <w:rPr>
          <w:b/>
          <w:bCs/>
          <w:w w:val="105"/>
          <w:sz w:val="28"/>
          <w:szCs w:val="24"/>
        </w:rPr>
        <w:t xml:space="preserve">Exchange Rate Volatility </w:t>
      </w:r>
      <w:r w:rsidRPr="00C17CEE">
        <w:rPr>
          <w:b/>
          <w:bCs/>
          <w:color w:val="1A1A1A"/>
          <w:w w:val="105"/>
          <w:sz w:val="28"/>
          <w:szCs w:val="24"/>
        </w:rPr>
        <w:t xml:space="preserve">on </w:t>
      </w:r>
      <w:r w:rsidRPr="00C17CEE">
        <w:rPr>
          <w:b/>
          <w:bCs/>
          <w:w w:val="105"/>
          <w:sz w:val="28"/>
          <w:szCs w:val="24"/>
        </w:rPr>
        <w:t>Performance of Commercial Banks in East Africa Community</w:t>
      </w:r>
    </w:p>
    <w:p w14:paraId="519EB63E" w14:textId="77777777" w:rsidR="007D548D" w:rsidRDefault="007D548D" w:rsidP="00F21A70">
      <w:pPr>
        <w:spacing w:before="40" w:after="0"/>
        <w:ind w:left="187" w:right="314"/>
        <w:jc w:val="center"/>
        <w:rPr>
          <w:b/>
          <w:bCs/>
          <w:w w:val="105"/>
          <w:sz w:val="28"/>
          <w:szCs w:val="24"/>
        </w:rPr>
      </w:pPr>
    </w:p>
    <w:p w14:paraId="45199590" w14:textId="054B5BBE" w:rsidR="00F21A70" w:rsidRPr="00C17CEE" w:rsidRDefault="00F21A70" w:rsidP="00F21A70">
      <w:pPr>
        <w:spacing w:before="40" w:after="0"/>
        <w:ind w:left="187" w:right="314"/>
        <w:jc w:val="center"/>
        <w:rPr>
          <w:b/>
          <w:bCs/>
        </w:rPr>
      </w:pPr>
      <w:r w:rsidRPr="00C17CEE">
        <w:rPr>
          <w:rFonts w:cs="Times New Roman"/>
          <w:b/>
          <w:bCs/>
          <w:szCs w:val="24"/>
          <w:shd w:val="clear" w:color="auto" w:fill="FFFFFF"/>
          <w:vertAlign w:val="superscript"/>
        </w:rPr>
        <w:t>1*</w:t>
      </w:r>
      <w:r w:rsidRPr="00C17CEE">
        <w:rPr>
          <w:b/>
          <w:bCs/>
          <w:w w:val="105"/>
        </w:rPr>
        <w:t xml:space="preserve">Mercy Muthoni </w:t>
      </w:r>
      <w:proofErr w:type="spellStart"/>
      <w:r w:rsidRPr="00C17CEE">
        <w:rPr>
          <w:b/>
          <w:bCs/>
          <w:w w:val="105"/>
        </w:rPr>
        <w:t>Njagi</w:t>
      </w:r>
      <w:proofErr w:type="spellEnd"/>
      <w:r w:rsidRPr="00C17CEE">
        <w:rPr>
          <w:b/>
          <w:bCs/>
          <w:w w:val="105"/>
        </w:rPr>
        <w:t xml:space="preserve"> </w:t>
      </w:r>
      <w:r w:rsidR="00097BFD">
        <w:rPr>
          <w:b/>
          <w:bCs/>
          <w:w w:val="105"/>
        </w:rPr>
        <w:t>and</w:t>
      </w:r>
      <w:r w:rsidRPr="00C17CEE">
        <w:rPr>
          <w:b/>
          <w:bCs/>
          <w:w w:val="105"/>
        </w:rPr>
        <w:t xml:space="preserve"> </w:t>
      </w:r>
      <w:r w:rsidRPr="00C17CEE">
        <w:rPr>
          <w:b/>
          <w:bCs/>
          <w:w w:val="105"/>
          <w:vertAlign w:val="superscript"/>
        </w:rPr>
        <w:t>2</w:t>
      </w:r>
      <w:r w:rsidRPr="00C17CEE">
        <w:rPr>
          <w:b/>
          <w:bCs/>
        </w:rPr>
        <w:t xml:space="preserve">Dr. Charles </w:t>
      </w:r>
      <w:proofErr w:type="spellStart"/>
      <w:r w:rsidRPr="00C17CEE">
        <w:rPr>
          <w:b/>
          <w:bCs/>
        </w:rPr>
        <w:t>Nzai</w:t>
      </w:r>
      <w:proofErr w:type="spellEnd"/>
      <w:r w:rsidRPr="00C17CEE">
        <w:rPr>
          <w:b/>
          <w:bCs/>
        </w:rPr>
        <w:t>, PhD</w:t>
      </w:r>
    </w:p>
    <w:p w14:paraId="018B91DA" w14:textId="4909F83C" w:rsidR="00F21A70" w:rsidRDefault="00F21A70" w:rsidP="00F21A70">
      <w:pPr>
        <w:spacing w:before="40" w:after="0"/>
        <w:jc w:val="center"/>
        <w:rPr>
          <w:b/>
          <w:bCs/>
        </w:rPr>
      </w:pPr>
      <w:r w:rsidRPr="00C17CEE">
        <w:rPr>
          <w:b/>
          <w:bCs/>
          <w:vertAlign w:val="superscript"/>
        </w:rPr>
        <w:t>1</w:t>
      </w:r>
      <w:r w:rsidR="00097BFD">
        <w:rPr>
          <w:b/>
          <w:bCs/>
          <w:vertAlign w:val="superscript"/>
        </w:rPr>
        <w:t>2</w:t>
      </w:r>
      <w:r w:rsidRPr="00C17CEE">
        <w:rPr>
          <w:b/>
          <w:bCs/>
        </w:rPr>
        <w:t>Department of Applied Economics, Kenyatta University</w:t>
      </w:r>
    </w:p>
    <w:p w14:paraId="6267182F" w14:textId="435EBEF6" w:rsidR="00F21A70" w:rsidRDefault="00F21A70" w:rsidP="00F21A70">
      <w:pPr>
        <w:spacing w:before="40" w:after="0"/>
        <w:jc w:val="center"/>
        <w:rPr>
          <w:rFonts w:cs="Times New Roman"/>
          <w:b/>
          <w:bCs/>
          <w:szCs w:val="24"/>
          <w:shd w:val="clear" w:color="auto" w:fill="FFFFFF"/>
        </w:rPr>
      </w:pPr>
      <w:r w:rsidRPr="00C17CEE">
        <w:rPr>
          <w:rFonts w:cs="Times New Roman"/>
          <w:b/>
          <w:bCs/>
          <w:szCs w:val="24"/>
          <w:shd w:val="clear" w:color="auto" w:fill="FFFFFF"/>
        </w:rPr>
        <w:t xml:space="preserve">*Corresponding </w:t>
      </w:r>
      <w:r>
        <w:rPr>
          <w:rFonts w:cs="Times New Roman"/>
          <w:b/>
          <w:bCs/>
          <w:szCs w:val="24"/>
          <w:shd w:val="clear" w:color="auto" w:fill="FFFFFF"/>
        </w:rPr>
        <w:t>author e-</w:t>
      </w:r>
      <w:r w:rsidRPr="00C17CEE">
        <w:rPr>
          <w:rFonts w:cs="Times New Roman"/>
          <w:b/>
          <w:bCs/>
          <w:szCs w:val="24"/>
          <w:shd w:val="clear" w:color="auto" w:fill="FFFFFF"/>
        </w:rPr>
        <w:t>mail:</w:t>
      </w:r>
      <w:r w:rsidRPr="00391C36">
        <w:t xml:space="preserve"> </w:t>
      </w:r>
      <w:hyperlink r:id="rId8" w:history="1">
        <w:r w:rsidRPr="00391C36">
          <w:rPr>
            <w:rStyle w:val="Hyperlink"/>
            <w:rFonts w:cs="Times New Roman"/>
            <w:b/>
            <w:bCs/>
            <w:szCs w:val="24"/>
            <w:shd w:val="clear" w:color="auto" w:fill="FFFFFF"/>
          </w:rPr>
          <w:t>mercie87.njagi@gmail.com</w:t>
        </w:r>
      </w:hyperlink>
      <w:r>
        <w:rPr>
          <w:rFonts w:cs="Times New Roman"/>
          <w:b/>
          <w:bCs/>
          <w:szCs w:val="24"/>
          <w:shd w:val="clear" w:color="auto" w:fill="FFFFFF"/>
        </w:rPr>
        <w:t xml:space="preserve"> </w:t>
      </w:r>
    </w:p>
    <w:p w14:paraId="76145624" w14:textId="77777777" w:rsidR="00F21A70" w:rsidRDefault="00F21A70" w:rsidP="00F344DF">
      <w:pPr>
        <w:spacing w:before="40" w:after="0"/>
        <w:rPr>
          <w:b/>
          <w:bCs/>
        </w:rPr>
      </w:pPr>
    </w:p>
    <w:p w14:paraId="1933C79A" w14:textId="058C8E74" w:rsidR="001B5AE0" w:rsidRPr="00F344DF" w:rsidRDefault="00F344DF" w:rsidP="00FB64D2">
      <w:pPr>
        <w:shd w:val="clear" w:color="auto" w:fill="FFFFFF"/>
        <w:spacing w:before="200" w:after="200"/>
        <w:rPr>
          <w:b/>
          <w:szCs w:val="24"/>
        </w:rPr>
      </w:pPr>
      <w:r w:rsidRPr="00F344DF">
        <w:rPr>
          <w:b/>
          <w:bCs/>
          <w:noProof/>
          <w:szCs w:val="24"/>
        </w:rPr>
        <mc:AlternateContent>
          <mc:Choice Requires="wps">
            <w:drawing>
              <wp:anchor distT="0" distB="0" distL="114300" distR="114300" simplePos="0" relativeHeight="251652608" behindDoc="0" locked="0" layoutInCell="1" allowOverlap="1" wp14:anchorId="13D887BD" wp14:editId="17D13AE0">
                <wp:simplePos x="0" y="0"/>
                <wp:positionH relativeFrom="margin">
                  <wp:posOffset>19050</wp:posOffset>
                </wp:positionH>
                <wp:positionV relativeFrom="paragraph">
                  <wp:posOffset>707390</wp:posOffset>
                </wp:positionV>
                <wp:extent cx="57150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150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AC6B" id="Straight Connector 7" o:spid="_x0000_s1026" style="position:absolute;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5.7pt" to="451.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" strokecolor="black [3200]" strokeweight=".25pt">
                <v:stroke joinstyle="miter"/>
                <w10:wrap anchorx="margin"/>
              </v:line>
            </w:pict>
          </mc:Fallback>
        </mc:AlternateContent>
      </w:r>
      <w:r w:rsidR="004870A7" w:rsidRPr="00F344DF">
        <w:rPr>
          <w:b/>
          <w:bCs/>
          <w:szCs w:val="24"/>
        </w:rPr>
        <w:t>How to cite this article:</w:t>
      </w:r>
      <w:r w:rsidR="00FB64D2" w:rsidRPr="00F344DF">
        <w:rPr>
          <w:b/>
          <w:szCs w:val="24"/>
        </w:rPr>
        <w:t xml:space="preserve"> </w:t>
      </w:r>
      <w:proofErr w:type="spellStart"/>
      <w:r w:rsidR="00F21A70" w:rsidRPr="00C17CEE">
        <w:rPr>
          <w:b/>
          <w:bCs/>
          <w:w w:val="105"/>
        </w:rPr>
        <w:t>Njagi</w:t>
      </w:r>
      <w:proofErr w:type="spellEnd"/>
      <w:r w:rsidR="00F21A70">
        <w:rPr>
          <w:b/>
          <w:bCs/>
          <w:w w:val="105"/>
        </w:rPr>
        <w:t xml:space="preserve">, M. M., &amp; </w:t>
      </w:r>
      <w:proofErr w:type="spellStart"/>
      <w:r w:rsidR="00F21A70">
        <w:rPr>
          <w:b/>
          <w:bCs/>
          <w:w w:val="105"/>
        </w:rPr>
        <w:t>Nzai</w:t>
      </w:r>
      <w:proofErr w:type="spellEnd"/>
      <w:r w:rsidR="00F21A70">
        <w:rPr>
          <w:b/>
          <w:bCs/>
          <w:w w:val="105"/>
        </w:rPr>
        <w:t xml:space="preserve">, C. (2022). </w:t>
      </w:r>
      <w:r w:rsidR="00F21A70" w:rsidRPr="00F21A70">
        <w:rPr>
          <w:b/>
          <w:bCs/>
          <w:w w:val="105"/>
        </w:rPr>
        <w:t xml:space="preserve">Effect </w:t>
      </w:r>
      <w:r w:rsidR="00F21A70" w:rsidRPr="00F21A70">
        <w:rPr>
          <w:b/>
          <w:bCs/>
          <w:color w:val="0E0E0E"/>
          <w:w w:val="105"/>
        </w:rPr>
        <w:t xml:space="preserve">of </w:t>
      </w:r>
      <w:r w:rsidR="00F21A70" w:rsidRPr="00F21A70">
        <w:rPr>
          <w:b/>
          <w:bCs/>
          <w:w w:val="105"/>
        </w:rPr>
        <w:t xml:space="preserve">Exchange Rate Volatility </w:t>
      </w:r>
      <w:r w:rsidR="00F21A70" w:rsidRPr="00F21A70">
        <w:rPr>
          <w:b/>
          <w:bCs/>
          <w:color w:val="1A1A1A"/>
          <w:w w:val="105"/>
        </w:rPr>
        <w:t xml:space="preserve">on </w:t>
      </w:r>
      <w:r w:rsidR="00F21A70" w:rsidRPr="00F21A70">
        <w:rPr>
          <w:b/>
          <w:bCs/>
          <w:w w:val="105"/>
        </w:rPr>
        <w:t>Performance of Commercial Banks in East Africa Community</w:t>
      </w:r>
      <w:r w:rsidR="00F21A70">
        <w:rPr>
          <w:b/>
          <w:szCs w:val="24"/>
        </w:rPr>
        <w:t xml:space="preserve">. </w:t>
      </w:r>
      <w:r w:rsidR="001B5AE0" w:rsidRPr="00F344DF">
        <w:rPr>
          <w:b/>
          <w:bCs/>
          <w:i/>
          <w:iCs/>
          <w:szCs w:val="24"/>
        </w:rPr>
        <w:t xml:space="preserve">Journal of </w:t>
      </w:r>
      <w:r w:rsidR="00F21A70">
        <w:rPr>
          <w:b/>
          <w:bCs/>
          <w:i/>
          <w:iCs/>
          <w:szCs w:val="24"/>
        </w:rPr>
        <w:t>Economics</w:t>
      </w:r>
      <w:r w:rsidR="001B5AE0" w:rsidRPr="00F344DF">
        <w:rPr>
          <w:b/>
          <w:bCs/>
          <w:i/>
          <w:iCs/>
          <w:szCs w:val="24"/>
        </w:rPr>
        <w:t>, 2</w:t>
      </w:r>
      <w:r w:rsidR="001B5AE0" w:rsidRPr="00F344DF">
        <w:rPr>
          <w:b/>
          <w:bCs/>
          <w:szCs w:val="24"/>
        </w:rPr>
        <w:t>(</w:t>
      </w:r>
      <w:r w:rsidR="00F21A70">
        <w:rPr>
          <w:b/>
          <w:bCs/>
          <w:szCs w:val="24"/>
        </w:rPr>
        <w:t>2</w:t>
      </w:r>
      <w:r w:rsidR="001B5AE0" w:rsidRPr="00F344DF">
        <w:rPr>
          <w:b/>
          <w:bCs/>
          <w:szCs w:val="24"/>
        </w:rPr>
        <w:t xml:space="preserve">), </w:t>
      </w:r>
      <w:r w:rsidR="00F21A70">
        <w:rPr>
          <w:b/>
          <w:bCs/>
          <w:szCs w:val="24"/>
        </w:rPr>
        <w:t>1</w:t>
      </w:r>
      <w:r w:rsidR="001B5AE0" w:rsidRPr="00F344DF">
        <w:rPr>
          <w:b/>
          <w:bCs/>
          <w:szCs w:val="24"/>
        </w:rPr>
        <w:t>-</w:t>
      </w:r>
      <w:r w:rsidR="00F21A70">
        <w:rPr>
          <w:b/>
          <w:bCs/>
          <w:szCs w:val="24"/>
        </w:rPr>
        <w:t>13</w:t>
      </w:r>
      <w:r w:rsidR="001B5AE0" w:rsidRPr="00F344DF">
        <w:rPr>
          <w:b/>
          <w:bCs/>
          <w:szCs w:val="24"/>
        </w:rPr>
        <w:t>.</w:t>
      </w:r>
    </w:p>
    <w:p w14:paraId="3AFAC144" w14:textId="6D59069C" w:rsidR="00F21A70" w:rsidRPr="00F21A70" w:rsidRDefault="004870A7" w:rsidP="00F21A70">
      <w:pPr>
        <w:jc w:val="center"/>
        <w:rPr>
          <w:b/>
          <w:sz w:val="28"/>
        </w:rPr>
      </w:pPr>
      <w:r w:rsidRPr="001E1BE5">
        <w:rPr>
          <w:b/>
          <w:sz w:val="28"/>
        </w:rPr>
        <w:t>Abstract</w:t>
      </w:r>
    </w:p>
    <w:p w14:paraId="200DF1A4" w14:textId="66F420BE" w:rsidR="00F21A70" w:rsidRPr="00C17CEE" w:rsidRDefault="00F21A70" w:rsidP="00F21A70">
      <w:pPr>
        <w:adjustRightInd w:val="0"/>
      </w:pPr>
      <w:r>
        <w:t>Bank</w:t>
      </w:r>
      <w:r>
        <w:rPr>
          <w:spacing w:val="-21"/>
        </w:rPr>
        <w:t xml:space="preserve"> </w:t>
      </w:r>
      <w:r>
        <w:t>performance</w:t>
      </w:r>
      <w:r>
        <w:rPr>
          <w:spacing w:val="-10"/>
        </w:rPr>
        <w:t xml:space="preserve"> </w:t>
      </w:r>
      <w:r>
        <w:t>indicates</w:t>
      </w:r>
      <w:r>
        <w:rPr>
          <w:spacing w:val="-13"/>
        </w:rPr>
        <w:t xml:space="preserve"> </w:t>
      </w:r>
      <w:r w:rsidR="00097BFD">
        <w:rPr>
          <w:spacing w:val="-13"/>
        </w:rPr>
        <w:t xml:space="preserve">the </w:t>
      </w:r>
      <w:r>
        <w:t>bank’s</w:t>
      </w:r>
      <w:r>
        <w:rPr>
          <w:spacing w:val="-16"/>
        </w:rPr>
        <w:t xml:space="preserve"> </w:t>
      </w:r>
      <w:r>
        <w:t>capacity</w:t>
      </w:r>
      <w:r>
        <w:rPr>
          <w:spacing w:val="-14"/>
        </w:rPr>
        <w:t xml:space="preserve"> </w:t>
      </w:r>
      <w:r>
        <w:t>to</w:t>
      </w:r>
      <w:r>
        <w:rPr>
          <w:spacing w:val="-25"/>
        </w:rPr>
        <w:t xml:space="preserve"> </w:t>
      </w:r>
      <w:r>
        <w:t>generate</w:t>
      </w:r>
      <w:r>
        <w:rPr>
          <w:spacing w:val="-19"/>
        </w:rPr>
        <w:t xml:space="preserve"> </w:t>
      </w:r>
      <w:r>
        <w:t>sustainable</w:t>
      </w:r>
      <w:r>
        <w:rPr>
          <w:spacing w:val="-18"/>
        </w:rPr>
        <w:t xml:space="preserve"> </w:t>
      </w:r>
      <w:r>
        <w:t>profits.</w:t>
      </w:r>
      <w:r>
        <w:rPr>
          <w:spacing w:val="-17"/>
        </w:rPr>
        <w:t xml:space="preserve"> </w:t>
      </w:r>
      <w:r>
        <w:t>The</w:t>
      </w:r>
      <w:r>
        <w:rPr>
          <w:spacing w:val="-23"/>
        </w:rPr>
        <w:t xml:space="preserve"> </w:t>
      </w:r>
      <w:r>
        <w:t>banking</w:t>
      </w:r>
      <w:r>
        <w:rPr>
          <w:spacing w:val="-14"/>
        </w:rPr>
        <w:t xml:space="preserve"> </w:t>
      </w:r>
      <w:r>
        <w:t xml:space="preserve">sector in Kenya has been experiencing fluctuating performance, which could be detrimental to </w:t>
      </w:r>
      <w:r w:rsidR="00097BFD">
        <w:t>its</w:t>
      </w:r>
      <w:r>
        <w:t xml:space="preserve"> survival. The study sought to determine the effect of the risk associated with exchange rate volatility on the profitability of commercial banks in the East African Community. This investigation specifically sought to establish the level of exchange rate volatility hence estimating the risk</w:t>
      </w:r>
      <w:r w:rsidR="00097BFD">
        <w:t>,</w:t>
      </w:r>
      <w:r>
        <w:t xml:space="preserve"> and also analy</w:t>
      </w:r>
      <w:r w:rsidR="00097BFD">
        <w:t>z</w:t>
      </w:r>
      <w:r>
        <w:t xml:space="preserve">e the effect of exchange rate volatility on commercial banks’ performance. The study was anchored by the </w:t>
      </w:r>
      <w:r w:rsidRPr="002D25C2">
        <w:t>profit maximization theory and the monetary theory</w:t>
      </w:r>
      <w:r>
        <w:t xml:space="preserve">. It employed </w:t>
      </w:r>
      <w:r w:rsidR="00097BFD">
        <w:t xml:space="preserve">an </w:t>
      </w:r>
      <w:r>
        <w:t xml:space="preserve">explanatory research design. The study covered the period </w:t>
      </w:r>
      <w:r w:rsidR="00097BFD">
        <w:t xml:space="preserve">from </w:t>
      </w:r>
      <w:r>
        <w:t>2000 to 2020 and utilized secondary data sourced from Central Banks and World Bank. The study employed a panel estimation</w:t>
      </w:r>
      <w:r>
        <w:rPr>
          <w:spacing w:val="2"/>
        </w:rPr>
        <w:t xml:space="preserve"> </w:t>
      </w:r>
      <w:r>
        <w:t>procedure</w:t>
      </w:r>
      <w:r>
        <w:rPr>
          <w:spacing w:val="2"/>
        </w:rPr>
        <w:t xml:space="preserve"> </w:t>
      </w:r>
      <w:r>
        <w:t>since</w:t>
      </w:r>
      <w:r>
        <w:rPr>
          <w:spacing w:val="-7"/>
        </w:rPr>
        <w:t xml:space="preserve"> </w:t>
      </w:r>
      <w:r>
        <w:t>the</w:t>
      </w:r>
      <w:r>
        <w:rPr>
          <w:spacing w:val="-9"/>
        </w:rPr>
        <w:t xml:space="preserve"> </w:t>
      </w:r>
      <w:r>
        <w:t>data</w:t>
      </w:r>
      <w:r>
        <w:rPr>
          <w:spacing w:val="-8"/>
        </w:rPr>
        <w:t xml:space="preserve"> </w:t>
      </w:r>
      <w:r>
        <w:t>was</w:t>
      </w:r>
      <w:r>
        <w:rPr>
          <w:spacing w:val="-1"/>
        </w:rPr>
        <w:t xml:space="preserve"> </w:t>
      </w:r>
      <w:r>
        <w:t xml:space="preserve">collected in panel series. </w:t>
      </w:r>
      <w:r w:rsidRPr="00B23EE0">
        <w:rPr>
          <w:szCs w:val="24"/>
        </w:rPr>
        <w:t xml:space="preserve">the study concludes that volatility exists </w:t>
      </w:r>
      <w:r>
        <w:rPr>
          <w:szCs w:val="24"/>
        </w:rPr>
        <w:t>as a risk to</w:t>
      </w:r>
      <w:r w:rsidRPr="00B23EE0">
        <w:rPr>
          <w:szCs w:val="24"/>
        </w:rPr>
        <w:t xml:space="preserve"> the profitability of commercial banks </w:t>
      </w:r>
      <w:r>
        <w:rPr>
          <w:szCs w:val="24"/>
        </w:rPr>
        <w:t xml:space="preserve">in </w:t>
      </w:r>
      <w:r w:rsidR="00097BFD">
        <w:rPr>
          <w:szCs w:val="24"/>
        </w:rPr>
        <w:t xml:space="preserve">the </w:t>
      </w:r>
      <w:r>
        <w:rPr>
          <w:szCs w:val="24"/>
        </w:rPr>
        <w:t>East African Community</w:t>
      </w:r>
      <w:r>
        <w:rPr>
          <w:spacing w:val="-5"/>
        </w:rPr>
        <w:t xml:space="preserve">. Using the </w:t>
      </w:r>
      <w:r w:rsidRPr="00D36A48">
        <w:rPr>
          <w:szCs w:val="24"/>
        </w:rPr>
        <w:t xml:space="preserve">coefficient of variation, </w:t>
      </w:r>
      <w:r>
        <w:rPr>
          <w:szCs w:val="24"/>
        </w:rPr>
        <w:t>the study found that</w:t>
      </w:r>
      <w:r w:rsidRPr="00D36A48">
        <w:rPr>
          <w:szCs w:val="24"/>
        </w:rPr>
        <w:t xml:space="preserve"> Uganda performed better than Tanzania. As a result, Tanzania and Kenya saw greater currency rate volatility than Uganda.</w:t>
      </w:r>
      <w:r>
        <w:rPr>
          <w:szCs w:val="24"/>
        </w:rPr>
        <w:t xml:space="preserve"> Further</w:t>
      </w:r>
      <w:r w:rsidR="00097BFD">
        <w:rPr>
          <w:szCs w:val="24"/>
        </w:rPr>
        <w:t>,</w:t>
      </w:r>
      <w:r>
        <w:rPr>
          <w:szCs w:val="24"/>
        </w:rPr>
        <w:t xml:space="preserve"> the results showed that</w:t>
      </w:r>
      <w:r w:rsidRPr="001301CF">
        <w:rPr>
          <w:szCs w:val="24"/>
        </w:rPr>
        <w:t xml:space="preserve"> the volatility influenced commercial banks</w:t>
      </w:r>
      <w:r w:rsidR="00097BFD">
        <w:rPr>
          <w:szCs w:val="24"/>
        </w:rPr>
        <w:t>'</w:t>
      </w:r>
      <w:r w:rsidRPr="001301CF">
        <w:rPr>
          <w:szCs w:val="24"/>
        </w:rPr>
        <w:t xml:space="preserve"> performance proxied by ROA for the period between 2000 to 2020. The relationship was however found to be weak and negative.</w:t>
      </w:r>
    </w:p>
    <w:p w14:paraId="770BA4DA" w14:textId="62B63798" w:rsidR="00F344DF" w:rsidRPr="00F21A70" w:rsidRDefault="00F21A70" w:rsidP="00013415">
      <w:r w:rsidRPr="001A5404">
        <w:rPr>
          <w:b/>
          <w:bCs/>
          <w:noProof/>
        </w:rPr>
        <mc:AlternateContent>
          <mc:Choice Requires="wps">
            <w:drawing>
              <wp:anchor distT="0" distB="0" distL="114300" distR="114300" simplePos="0" relativeHeight="251720192" behindDoc="0" locked="0" layoutInCell="1" allowOverlap="1" wp14:anchorId="5F140C85" wp14:editId="60C2E141">
                <wp:simplePos x="0" y="0"/>
                <wp:positionH relativeFrom="margin">
                  <wp:posOffset>19050</wp:posOffset>
                </wp:positionH>
                <wp:positionV relativeFrom="paragraph">
                  <wp:posOffset>353060</wp:posOffset>
                </wp:positionV>
                <wp:extent cx="57150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150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4B2DD" id="Straight Connector 3" o:spid="_x0000_s1026" style="position:absolute;flip:y;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7.8pt" to="45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" strokecolor="black [3200]" strokeweight=".25pt">
                <v:stroke joinstyle="miter"/>
                <w10:wrap anchorx="margin"/>
              </v:line>
            </w:pict>
          </mc:Fallback>
        </mc:AlternateContent>
      </w:r>
      <w:r w:rsidRPr="00C17CEE">
        <w:rPr>
          <w:rFonts w:cs="Times New Roman"/>
          <w:b/>
          <w:bCs/>
        </w:rPr>
        <w:t>Keywords:</w:t>
      </w:r>
      <w:r>
        <w:t xml:space="preserve"> </w:t>
      </w:r>
      <w:r w:rsidRPr="00C17CEE">
        <w:rPr>
          <w:i/>
          <w:iCs/>
        </w:rPr>
        <w:t>Exchange Rate Volatility, Performance of Commercial Banks, East Africa Community</w:t>
      </w:r>
    </w:p>
    <w:p w14:paraId="41B5C0D1" w14:textId="1C8D0A87" w:rsidR="00F21A70" w:rsidRDefault="00F21A70" w:rsidP="00F21A70">
      <w:pPr>
        <w:pStyle w:val="Heading2"/>
        <w:rPr>
          <w:shd w:val="clear" w:color="auto" w:fill="FFFFFF"/>
        </w:rPr>
      </w:pPr>
      <w:r>
        <w:rPr>
          <w:shd w:val="clear" w:color="auto" w:fill="FFFFFF"/>
        </w:rPr>
        <w:t xml:space="preserve">1.0 </w:t>
      </w:r>
      <w:r w:rsidRPr="0099121B">
        <w:rPr>
          <w:shd w:val="clear" w:color="auto" w:fill="FFFFFF"/>
        </w:rPr>
        <w:t>Introduction</w:t>
      </w:r>
    </w:p>
    <w:p w14:paraId="74B2E0F9" w14:textId="77777777" w:rsidR="00F21A70" w:rsidRPr="00CB74C3" w:rsidRDefault="00F21A70" w:rsidP="00F21A70">
      <w:pPr>
        <w:rPr>
          <w:b/>
          <w:bCs/>
          <w:i/>
          <w:iCs/>
        </w:rPr>
      </w:pPr>
      <w:bookmarkStart w:id="0" w:name="_Toc119534044"/>
      <w:r w:rsidRPr="00CB74C3">
        <w:rPr>
          <w:b/>
          <w:bCs/>
          <w:i/>
          <w:iCs/>
        </w:rPr>
        <w:t>The Exchange</w:t>
      </w:r>
      <w:r w:rsidRPr="00CB74C3">
        <w:rPr>
          <w:b/>
          <w:bCs/>
          <w:i/>
          <w:iCs/>
          <w:spacing w:val="36"/>
        </w:rPr>
        <w:t xml:space="preserve"> </w:t>
      </w:r>
      <w:r w:rsidRPr="00CB74C3">
        <w:rPr>
          <w:b/>
          <w:bCs/>
          <w:i/>
          <w:iCs/>
        </w:rPr>
        <w:t>Rate</w:t>
      </w:r>
      <w:bookmarkEnd w:id="0"/>
    </w:p>
    <w:p w14:paraId="0D6DA280" w14:textId="5A6D6D80" w:rsidR="00F21A70" w:rsidRDefault="00F21A70" w:rsidP="00F21A70">
      <w:r w:rsidRPr="00023559">
        <w:t xml:space="preserve">The value of one country's currency in relation to another country's currency is </w:t>
      </w:r>
      <w:r>
        <w:t xml:space="preserve">what is </w:t>
      </w:r>
      <w:r w:rsidRPr="00023559">
        <w:t>known as the exchange rate.</w:t>
      </w:r>
      <w:r>
        <w:t xml:space="preserve"> </w:t>
      </w:r>
      <w:r>
        <w:rPr>
          <w:spacing w:val="-10"/>
        </w:rPr>
        <w:t>Further</w:t>
      </w:r>
      <w:r w:rsidR="00097BFD">
        <w:rPr>
          <w:spacing w:val="-10"/>
        </w:rPr>
        <w:t>,</w:t>
      </w:r>
      <w:r>
        <w:rPr>
          <w:spacing w:val="-10"/>
        </w:rPr>
        <w:t xml:space="preserve"> an e</w:t>
      </w:r>
      <w:r>
        <w:t>xchange rate</w:t>
      </w:r>
      <w:r>
        <w:rPr>
          <w:spacing w:val="-13"/>
        </w:rPr>
        <w:t xml:space="preserve"> </w:t>
      </w:r>
      <w:r>
        <w:t>can be seen as the unit</w:t>
      </w:r>
      <w:r>
        <w:rPr>
          <w:spacing w:val="-8"/>
        </w:rPr>
        <w:t xml:space="preserve"> </w:t>
      </w:r>
      <w:r>
        <w:t>price</w:t>
      </w:r>
      <w:r>
        <w:rPr>
          <w:spacing w:val="-9"/>
        </w:rPr>
        <w:t xml:space="preserve"> </w:t>
      </w:r>
      <w:r>
        <w:t>of</w:t>
      </w:r>
      <w:r>
        <w:rPr>
          <w:spacing w:val="-15"/>
        </w:rPr>
        <w:t xml:space="preserve"> </w:t>
      </w:r>
      <w:r>
        <w:t>foreign</w:t>
      </w:r>
      <w:r>
        <w:rPr>
          <w:spacing w:val="2"/>
        </w:rPr>
        <w:t xml:space="preserve"> </w:t>
      </w:r>
      <w:r>
        <w:t>currency</w:t>
      </w:r>
      <w:r>
        <w:rPr>
          <w:spacing w:val="2"/>
        </w:rPr>
        <w:t xml:space="preserve"> </w:t>
      </w:r>
      <w:r>
        <w:t>against</w:t>
      </w:r>
      <w:r>
        <w:rPr>
          <w:spacing w:val="-4"/>
        </w:rPr>
        <w:t xml:space="preserve"> </w:t>
      </w:r>
      <w:r>
        <w:t>domestic</w:t>
      </w:r>
      <w:r>
        <w:rPr>
          <w:spacing w:val="-5"/>
        </w:rPr>
        <w:t xml:space="preserve"> </w:t>
      </w:r>
      <w:r>
        <w:t>currency</w:t>
      </w:r>
      <w:r>
        <w:rPr>
          <w:spacing w:val="3"/>
        </w:rPr>
        <w:t xml:space="preserve"> </w:t>
      </w:r>
      <w:proofErr w:type="spellStart"/>
      <w:r>
        <w:t>Keshtgar</w:t>
      </w:r>
      <w:proofErr w:type="spellEnd"/>
      <w:r>
        <w:t>,</w:t>
      </w:r>
      <w:r>
        <w:rPr>
          <w:spacing w:val="-5"/>
        </w:rPr>
        <w:t xml:space="preserve"> </w:t>
      </w:r>
      <w:proofErr w:type="spellStart"/>
      <w:r>
        <w:t>Pahlavani</w:t>
      </w:r>
      <w:proofErr w:type="spellEnd"/>
      <w:r>
        <w:t xml:space="preserve"> </w:t>
      </w:r>
      <w:r w:rsidR="0061520D">
        <w:t xml:space="preserve">and </w:t>
      </w:r>
      <w:proofErr w:type="spellStart"/>
      <w:r>
        <w:t>Mirjalili</w:t>
      </w:r>
      <w:proofErr w:type="spellEnd"/>
      <w:r>
        <w:t xml:space="preserve"> (2020). Exchange risk is also referred </w:t>
      </w:r>
      <w:r w:rsidR="00097BFD">
        <w:t xml:space="preserve">to </w:t>
      </w:r>
      <w:r>
        <w:t>as a degree of risk that stems from unexpected changes in the exchange rates. By expression, an exchange rate can take the multilateral or bilateral form. An exchange rate of the bilateral form expresses the exchange rate of one currency relative to</w:t>
      </w:r>
      <w:r>
        <w:rPr>
          <w:spacing w:val="-14"/>
        </w:rPr>
        <w:t xml:space="preserve"> </w:t>
      </w:r>
      <w:r>
        <w:t>another,</w:t>
      </w:r>
      <w:r>
        <w:rPr>
          <w:spacing w:val="-3"/>
        </w:rPr>
        <w:t xml:space="preserve"> </w:t>
      </w:r>
      <w:r>
        <w:t>for example</w:t>
      </w:r>
      <w:r w:rsidR="00097BFD">
        <w:t>,</w:t>
      </w:r>
      <w:r>
        <w:t xml:space="preserve"> the rate at which </w:t>
      </w:r>
      <w:r w:rsidR="00097BFD">
        <w:t xml:space="preserve">the </w:t>
      </w:r>
      <w:r>
        <w:t xml:space="preserve">Kenya shilling can be expressed in terms of a United States Dollar (USD). Conversely, a multilateral exchange rate is one expressed in terms of a composite weighted basket of a country’s trading partners’ </w:t>
      </w:r>
      <w:r w:rsidRPr="00CB74C3">
        <w:t>currencies</w:t>
      </w:r>
      <w:r>
        <w:t xml:space="preserve"> </w:t>
      </w:r>
      <w:r w:rsidRPr="00CB74C3">
        <w:fldChar w:fldCharType="begin"/>
      </w:r>
      <w:r w:rsidRPr="00CB74C3">
        <w:instrText xml:space="preserve"> ADDIN ZOTERO_ITEM CSL_CITATION {"citationID":"a1jincshjg6","properties":{"formattedCitation":"\\uldash{(Gachoki et al., 2021)}","plainCitation":"(Gachoki et al., 2021)","noteIndex":0},"citationItems":[{"id":63,"uris":["http://zotero.org/users/local/gmijzRh7/items/KCSVD2AL"],"itemData":{"id":63,"type":"article-journal","abstract":"The exchange rate is an important variable in international trade because a country's competitiveness is determined by the expectations on how trade reacts to its movements. To orient the economy outwards, Kenya has pursued various measures from the 1990s to the 2000s. Kenya also signed up for nonreciprocal trade with the European Union under the Cotonou agreement. Despite the export-oriented efforts, Kenya's trade has remained skewed towards imports and a widening trade deficit which seems to follow the weakening of the Kenya shilling. The main policy dilemma therefore, is how imports accelerated in an environment of unhindered European Union market access, hence the motivation of this study. The study adopted a dynamic modeling approach since previous and present values affect exchange rate and trade. The results show that the economic fundamentals drive the real exchange rate. In terms of misalignment, the exchange rate is overvalued to a maximum of 5.9 percent and undervalued up to 5.2 percent. The estimated misalignment hurts imports but has a positive, statistically insignificant effect on exports. The results of this study suggest that the monetary authority should ensure the exchange rate remains stable and within the 6 percent range while monitoring all the underlying determinants. Additionally, hedging instruments should be made available and affordable to traders.","container-title":"European Scientific Journal ESJ","DOI":"10.19044/esj.2021.v17n41p58","ISSN":"18577881, 18577431","issue":"41","journalAbbreviation":"ESJ","language":"en","source":"DOI.org (Crossref)","title":"Effect of Exchange Rate Misalignment on Bilateral Trade Between Kenya and European Union: 2000-2016","title-short":"Effect of Exchange Rate Misalignment on Bilateral Trade Between Kenya and European Union","URL":"https://eujournal.org/index.php/esj/article/view/15025","volume":"17","author":[{"family":"Gachoki","given":"Charles Munene"},{"family":"Okeri","given":"Susan"},{"family":"Korir","given":"Julius"}],"accessed":{"date-parts":[["2022",10,10]]},"issued":{"date-parts":[["2021",12,31]]}},"label":"page"}],"schema":"https://github.com/citation-style-language/schema/raw/master/csl-citation.json"} </w:instrText>
      </w:r>
      <w:r w:rsidRPr="00CB74C3">
        <w:fldChar w:fldCharType="separate"/>
      </w:r>
      <w:r w:rsidRPr="00CB74C3">
        <w:t>(</w:t>
      </w:r>
      <w:proofErr w:type="spellStart"/>
      <w:r w:rsidRPr="00CB74C3">
        <w:t>Gachoki</w:t>
      </w:r>
      <w:proofErr w:type="spellEnd"/>
      <w:r w:rsidRPr="00CB74C3">
        <w:t xml:space="preserve"> et al., 2021)</w:t>
      </w:r>
      <w:r w:rsidRPr="00CB74C3">
        <w:fldChar w:fldCharType="end"/>
      </w:r>
      <w:r w:rsidRPr="00CB74C3">
        <w:t>. Majority</w:t>
      </w:r>
      <w:r>
        <w:t xml:space="preserve"> of exchange rates fall under floating systems and are allowed to upswing or drop based on market supply </w:t>
      </w:r>
      <w:r>
        <w:lastRenderedPageBreak/>
        <w:t>and demand but some exchange rates are not floating and are pegged to the value of other currencies</w:t>
      </w:r>
      <w:r>
        <w:rPr>
          <w:spacing w:val="25"/>
        </w:rPr>
        <w:t xml:space="preserve"> </w:t>
      </w:r>
      <w:r>
        <w:t>and may have restrictions.</w:t>
      </w:r>
    </w:p>
    <w:p w14:paraId="41FFCDA9" w14:textId="3E990E83" w:rsidR="00F21A70" w:rsidRDefault="00F21A70" w:rsidP="00F21A70">
      <w:r w:rsidRPr="00DA239E">
        <w:t>The exchange rate is one of the most significant factors that affect a country's comparative economic standing, along with inflation and interest rates. The argument over how exchange rates affect economic growth is still highly nuanced, though. Regarding exchange rate policies, two key issues are frequently brought up: the connections between exchange rates and the balance of payments; and, the macro stability and growth. Particularly, the exchange rate has a significant impact on a nation's trading performance. A currency with a higher value makes imports cheaper and exports more expensive in overseas markets. As a result, the production cost of items made locally is immediately and considerably impacted by exchange rate fluctuations in a country's prices</w:t>
      </w:r>
      <w:r>
        <w:t xml:space="preserve"> (Kairu, 2016). </w:t>
      </w:r>
    </w:p>
    <w:p w14:paraId="0D8198FA" w14:textId="28E234D0" w:rsidR="00F21A70" w:rsidRDefault="00F21A70" w:rsidP="00F21A70">
      <w:proofErr w:type="spellStart"/>
      <w:r>
        <w:t>Keshtgar</w:t>
      </w:r>
      <w:proofErr w:type="spellEnd"/>
      <w:r>
        <w:t xml:space="preserve">, </w:t>
      </w:r>
      <w:proofErr w:type="spellStart"/>
      <w:r>
        <w:t>Pahlavani</w:t>
      </w:r>
      <w:proofErr w:type="spellEnd"/>
      <w:r>
        <w:t xml:space="preserve">, and </w:t>
      </w:r>
      <w:proofErr w:type="spellStart"/>
      <w:r>
        <w:t>Mirjalili</w:t>
      </w:r>
      <w:proofErr w:type="spellEnd"/>
      <w:r>
        <w:t xml:space="preserve"> (2020) argue</w:t>
      </w:r>
      <w:r w:rsidRPr="00DA239E">
        <w:t xml:space="preserve"> that changes in exchange rates generally result in both large gains and losses.</w:t>
      </w:r>
      <w:r>
        <w:t xml:space="preserve"> </w:t>
      </w:r>
      <w:r w:rsidRPr="003D2AFA">
        <w:t xml:space="preserve">A company's accounting exposure increases with its level of involvement in international commerce, and unless this risk is hedged, it may experience </w:t>
      </w:r>
      <w:r>
        <w:t xml:space="preserve">either losses or </w:t>
      </w:r>
      <w:r w:rsidRPr="003D2AFA">
        <w:t xml:space="preserve">gains </w:t>
      </w:r>
      <w:r>
        <w:t>financially</w:t>
      </w:r>
      <w:r w:rsidRPr="003D2AFA">
        <w:t xml:space="preserve"> from transactions.</w:t>
      </w:r>
    </w:p>
    <w:p w14:paraId="3FD6545C" w14:textId="4A50AD41" w:rsidR="00F21A70" w:rsidRDefault="00F21A70" w:rsidP="00F21A70">
      <w:r w:rsidRPr="003D2AFA">
        <w:t>Commercial banks unquestionably have a significant impact on the financial system and the financial industry as a whole.</w:t>
      </w:r>
      <w:r>
        <w:t xml:space="preserve"> Their participation in channeling surplus finances </w:t>
      </w:r>
      <w:proofErr w:type="gramStart"/>
      <w:r>
        <w:t>are</w:t>
      </w:r>
      <w:proofErr w:type="gramEnd"/>
      <w:r>
        <w:t xml:space="preserve"> moved into productive activities is a chain that cannot be ignored in economic development. According to Franklin </w:t>
      </w:r>
      <w:r w:rsidR="0061520D">
        <w:t>and</w:t>
      </w:r>
      <w:r>
        <w:t xml:space="preserve"> Elena</w:t>
      </w:r>
      <w:r w:rsidR="0061520D">
        <w:t xml:space="preserve"> (</w:t>
      </w:r>
      <w:r>
        <w:t>2008) commercial banks are the grease that keep</w:t>
      </w:r>
      <w:r w:rsidR="00097BFD">
        <w:t>s</w:t>
      </w:r>
      <w:r>
        <w:t xml:space="preserve"> this chain smooth. Financial institutions mobilize financial resources from surplus holders to deficient economic </w:t>
      </w:r>
      <w:r w:rsidRPr="00CB74C3">
        <w:t xml:space="preserve">units </w:t>
      </w:r>
      <w:r w:rsidRPr="00CB74C3">
        <w:fldChar w:fldCharType="begin"/>
      </w:r>
      <w:r w:rsidRPr="00CB74C3">
        <w:instrText xml:space="preserve"> ADDIN ZOTERO_ITEM CSL_CITATION {"citationID":"afo3c7pr3a","properties":{"formattedCitation":"\\uldash{(Kairu &amp; Nairobi, 2016)}","plainCitation":"(Kairu &amp; Nairobi, 2016)","noteIndex":0},"citationItems":[{"id":74,"uris":["http://zotero.org/users/local/gmijzRh7/items/GXAQEZ9A"],"itemData":{"id":74,"type":"article-journal","language":"en","page":"55","source":"Zotero","title":"Effects Of The Exchange Rate Volatility On The Financial Performance Of Commercial Banks In Kenya","author":[{"family":"Kairu","given":"Eric Kiama"},{"family":"Nairobi","given":"University Of"}],"issued":{"date-parts":[["2016"]]}},"label":"page"}],"schema":"https://github.com/citation-style-language/schema/raw/master/csl-citation.json"} </w:instrText>
      </w:r>
      <w:r w:rsidRPr="00CB74C3">
        <w:fldChar w:fldCharType="separate"/>
      </w:r>
      <w:r w:rsidRPr="00CB74C3">
        <w:t>(Kairu, 2016)</w:t>
      </w:r>
      <w:r w:rsidRPr="00CB74C3">
        <w:fldChar w:fldCharType="end"/>
      </w:r>
      <w:r w:rsidRPr="00CB74C3">
        <w:t>. To carry out this role the management of risk by commercial banks is key in decision</w:t>
      </w:r>
      <w:r w:rsidR="00097BFD">
        <w:t>-</w:t>
      </w:r>
      <w:r w:rsidRPr="00CB74C3">
        <w:t>making</w:t>
      </w:r>
      <w:r w:rsidR="00097BFD">
        <w:t>,</w:t>
      </w:r>
      <w:r w:rsidRPr="00CB74C3">
        <w:t xml:space="preserve"> especially in</w:t>
      </w:r>
      <w:r>
        <w:t xml:space="preserve"> </w:t>
      </w:r>
      <w:r w:rsidR="00097BFD">
        <w:t xml:space="preserve">the </w:t>
      </w:r>
      <w:r>
        <w:t xml:space="preserve">foreign exchange rate and currency exposure. Exchange rate fluctuations present a risk to firms due to uncertainty in potential profits. This challenge is ever present in developing countries since they have no instruments to </w:t>
      </w:r>
      <w:r w:rsidRPr="00CB74C3">
        <w:t xml:space="preserve">hedge against exchange exposure and even in situations where they are available they are too costly </w:t>
      </w:r>
      <w:r w:rsidRPr="00CB74C3">
        <w:fldChar w:fldCharType="begin"/>
      </w:r>
      <w:r w:rsidRPr="00CB74C3">
        <w:instrText xml:space="preserve"> ADDIN ZOTERO_ITEM CSL_CITATION {"citationID":"as0q83clsu","properties":{"formattedCitation":"\\uldash{(Kairu &amp; Nairobi, 2016)}","plainCitation":"(Kairu &amp; Nairobi, 2016)","noteIndex":0},"citationItems":[{"id":74,"uris":["http://zotero.org/users/local/gmijzRh7/items/GXAQEZ9A"],"itemData":{"id":74,"type":"article-journal","language":"en","page":"55","source":"Zotero","title":"Effects Of The Exchange Rate Volatility On The Financial Performance Of Commercial Banks In Kenya","author":[{"family":"Kairu","given":"Eric Kiama"},{"family":"Nairobi","given":"University Of"}],"issued":{"date-parts":[["2016"]]}}}],"schema":"https://github.com/citation-style-language/schema/raw/master/csl-citation.json"} </w:instrText>
      </w:r>
      <w:r w:rsidRPr="00CB74C3">
        <w:fldChar w:fldCharType="separate"/>
      </w:r>
      <w:r w:rsidRPr="00CB74C3">
        <w:t>(Kairu, 2016)</w:t>
      </w:r>
      <w:r w:rsidRPr="00CB74C3">
        <w:fldChar w:fldCharType="end"/>
      </w:r>
      <w:r w:rsidRPr="00CB74C3">
        <w:t>.</w:t>
      </w:r>
    </w:p>
    <w:p w14:paraId="1C6F2757" w14:textId="77777777" w:rsidR="00F21A70" w:rsidRPr="00DB72AC" w:rsidRDefault="00F21A70" w:rsidP="00F21A70">
      <w:pPr>
        <w:rPr>
          <w:b/>
          <w:bCs/>
          <w:i/>
          <w:iCs/>
        </w:rPr>
      </w:pPr>
      <w:bookmarkStart w:id="1" w:name="_Toc119534045"/>
      <w:r w:rsidRPr="00DB72AC">
        <w:rPr>
          <w:b/>
          <w:bCs/>
          <w:i/>
          <w:iCs/>
        </w:rPr>
        <w:t>Exchange Rate Volatility</w:t>
      </w:r>
      <w:bookmarkEnd w:id="1"/>
      <w:r w:rsidRPr="00DB72AC">
        <w:rPr>
          <w:b/>
          <w:bCs/>
          <w:i/>
          <w:iCs/>
        </w:rPr>
        <w:t xml:space="preserve"> </w:t>
      </w:r>
    </w:p>
    <w:p w14:paraId="6F44E6E1" w14:textId="0910DE04" w:rsidR="00F21A70" w:rsidRDefault="00F21A70" w:rsidP="00F21A70">
      <w:r w:rsidRPr="00DA239E">
        <w:t xml:space="preserve">Fixed exchange rates are not volatile while floating exchange rates can have volatility or not depending on how it changes over time. However, because they are subject to alter at any time, floating exchange rates tend to be more volatile. rates of exchange Investment decisions are hampered by volatility since it raises exchange rate risk. Exchange rate risk is the possibility of suffering a loss as a result of fluctuating exchange rates. The variance in the exchange rate's value over time can be referred to as its </w:t>
      </w:r>
      <w:r w:rsidRPr="00CB74C3">
        <w:t xml:space="preserve">volatility </w:t>
      </w:r>
      <w:r w:rsidRPr="00CB74C3">
        <w:fldChar w:fldCharType="begin"/>
      </w:r>
      <w:r w:rsidRPr="00CB74C3">
        <w:instrText xml:space="preserve"> ADDIN ZOTERO_ITEM CSL_CITATION {"citationID":"a67orpon37","properties":{"formattedCitation":"\\uldash{(Bagh et al., 2017)}","plainCitation":"(Bagh et al., 2017)","noteIndex":0},"citationItems":[{"id":169,"uris":["http://zotero.org/users/local/gmijzRh7/items/L4PHBEBY"],"itemData":{"id":169,"type":"article-journal","container-title":"International Journal of Academic Research in Accounting, Finance and Management Sciences","DOI":"10.6007/IJARAFMS/v7-i3/3150","ISSN":"2225-8329","issue":"3","journalAbbreviation":"IJARAFMS","language":"en","page":"Pages 70-86","source":"DOI.org (Crossref)","title":"The Impact of Exchange Rate Volatility on Stock Index: Evidence from Pakistan Stock Exchange (PSX)","title-short":"The Impact of Exchange Rate Volatility on Stock Index","volume":"7","author":[{"family":"Bagh","given":"Tanveer"},{"family":"Azad","given":"Tahir"},{"family":"Razzaq","given":"Sadaf"},{"family":"Liaqat","given":"Idrees"},{"family":"Khan","given":"Muhammad Asif"}],"issued":{"date-parts":[["2017",8,23]]}}}],"schema":"https://github.com/citation-style-language/schema/raw/master/csl-citation.json"} </w:instrText>
      </w:r>
      <w:r w:rsidRPr="00CB74C3">
        <w:fldChar w:fldCharType="separate"/>
      </w:r>
      <w:r w:rsidRPr="00CB74C3">
        <w:t>(Bagh et al., 2017)</w:t>
      </w:r>
      <w:r w:rsidRPr="00CB74C3">
        <w:fldChar w:fldCharType="end"/>
      </w:r>
      <w:r w:rsidRPr="00CB74C3">
        <w:t>.</w:t>
      </w:r>
      <w:r>
        <w:t xml:space="preserve"> The volatility and uncertainty make the prediction of future prices difficult.</w:t>
      </w:r>
    </w:p>
    <w:p w14:paraId="415A415F" w14:textId="7F24FCFA" w:rsidR="00F21A70" w:rsidRPr="00CB74C3" w:rsidRDefault="00F21A70" w:rsidP="00F21A70">
      <w:r w:rsidRPr="00CB74C3">
        <w:t xml:space="preserve">According to </w:t>
      </w:r>
      <w:r w:rsidRPr="00CB74C3">
        <w:fldChar w:fldCharType="begin"/>
      </w:r>
      <w:r w:rsidRPr="00CB74C3">
        <w:instrText xml:space="preserve"> ADDIN ZOTERO_ITEM CSL_CITATION {"citationID":"a1u019f94u9","properties":{"formattedCitation":"\\uldash{(Keshtgar et al., 2020)}","plainCitation":"(Keshtgar et al., 2020)","noteIndex":0},"citationItems":[{"id":153,"uris":["http://zotero.org/users/local/gmijzRh7/items/KFK3C4UX"],"itemData":{"id":153,"type":"article-journal","abstract":"Banks play an important role in the Iranian economy which has a bank-based financial system. We examined the impact of exchange rate volatility as a determinant of banks' performance. In recent years, the exchange rate has been volatile in the Iranian economy and have an adverse effect on banks' performance. This study, investigate the issue for the period 2007-2017 for 14 Iranian banks. Exchange rate fluctuations are derived by GARCH method and the effect of its fluctuations on bank performance examined using panel data method. In order to evaluate banks' performance, we used two criteria, namely liquidity and profitability. Estimation of econometric model using panel data by random effects indicated that exchange rate volatility has a negative and statistically significant effect on banks' capital return ratio. Exchange rate volatility is also a determinant in increasing the ratio of lending to total bank deposits, as it increases the financial gap and creates the credit risk that the gap entails.","container-title":"International Journal of Business and Development Studies","DOI":"10.22111/ijbds.2020.5436","issue":"1","journalAbbreviation":"IJBDS","language":"en","source":"DOI.org (CSL JSON)","title":"The Impact of Exchange Rate volatility on Banking Performance case of Iran)","URL":"https://doi.org/10.22111/ijbds.2020.5436","volume":"12","author":[{"family":"Keshtgar","given":"Nafiseh"},{"family":"Pahlavani","given":"Mosayeb"},{"family":"Mirjalili","given":"Seyed Hossein"}],"accessed":{"date-parts":[["2022",11,5]]},"issued":{"date-parts":[["2020",6]]}}}],"schema":"https://github.com/citation-style-language/schema/raw/master/csl-citation.json"} </w:instrText>
      </w:r>
      <w:r w:rsidRPr="00CB74C3">
        <w:fldChar w:fldCharType="separate"/>
      </w:r>
      <w:proofErr w:type="spellStart"/>
      <w:r w:rsidRPr="00CB74C3">
        <w:t>Keshtgar</w:t>
      </w:r>
      <w:proofErr w:type="spellEnd"/>
      <w:r w:rsidRPr="00CB74C3">
        <w:t xml:space="preserve"> et al.</w:t>
      </w:r>
      <w:r>
        <w:t xml:space="preserve"> (</w:t>
      </w:r>
      <w:r w:rsidRPr="00CB74C3">
        <w:t>2020)</w:t>
      </w:r>
      <w:r w:rsidRPr="00CB74C3">
        <w:fldChar w:fldCharType="end"/>
      </w:r>
      <w:r w:rsidRPr="00CB74C3">
        <w:t xml:space="preserve"> commercial</w:t>
      </w:r>
      <w:r w:rsidRPr="002F3BFA">
        <w:rPr>
          <w:szCs w:val="24"/>
        </w:rPr>
        <w:t xml:space="preserve"> banks</w:t>
      </w:r>
      <w:r w:rsidR="00097BFD">
        <w:rPr>
          <w:szCs w:val="24"/>
        </w:rPr>
        <w:t>'</w:t>
      </w:r>
      <w:r w:rsidRPr="002F3BFA">
        <w:rPr>
          <w:szCs w:val="24"/>
        </w:rPr>
        <w:t xml:space="preserve"> performance is impacted both directly and </w:t>
      </w:r>
      <w:r w:rsidRPr="00CB74C3">
        <w:t>indirectly by exchange rate volatility. Because banks engage in operations relating to foreign exchange, exchange rate volatility directly affects their financial performance. Before engaging in foreign exchange-related activities, it is important to evaluate exchange rate fluctuations, associated risks, and their effects on the Bank's foreign currency obligations and the profitability of its banking operations. The performance and outcomes of borrowers and depositors, as well as the risk and efficiency of the banking sector, are all adversely affected by exchange rate fluctuation.</w:t>
      </w:r>
    </w:p>
    <w:p w14:paraId="3E8AA843" w14:textId="7ED89EE4" w:rsidR="00F21A70" w:rsidRPr="00CB74C3" w:rsidRDefault="00F21A70" w:rsidP="00F21A70">
      <w:pPr>
        <w:rPr>
          <w:szCs w:val="24"/>
        </w:rPr>
      </w:pPr>
      <w:r w:rsidRPr="00DA239E">
        <w:t xml:space="preserve">Exchange rate fluctuations also have a negative influence on the return on assets for banks. Due to the volatility of foreign exchange, banks are vulnerable to a variety of hazards, which have an impact on their profitability. </w:t>
      </w:r>
      <w:r w:rsidRPr="006B1921">
        <w:t xml:space="preserve">These </w:t>
      </w:r>
      <w:r>
        <w:t>risks</w:t>
      </w:r>
      <w:r w:rsidRPr="006B1921">
        <w:t xml:space="preserve"> include the </w:t>
      </w:r>
      <w:r>
        <w:t>risk</w:t>
      </w:r>
      <w:r w:rsidRPr="006B1921">
        <w:t xml:space="preserve"> of transactions, conversions, credit, interest rates, and inflation. The question then becomes what effect </w:t>
      </w:r>
      <w:r w:rsidR="00097BFD">
        <w:t xml:space="preserve">does </w:t>
      </w:r>
      <w:r w:rsidRPr="006B1921">
        <w:t>exchange rate volatility has on banking per</w:t>
      </w:r>
      <w:r>
        <w:t>formance?</w:t>
      </w:r>
    </w:p>
    <w:p w14:paraId="6865E881" w14:textId="77777777" w:rsidR="00F21A70" w:rsidRPr="00CB74C3" w:rsidRDefault="00F21A70" w:rsidP="00F21A70">
      <w:pPr>
        <w:rPr>
          <w:b/>
          <w:bCs/>
          <w:i/>
          <w:iCs/>
        </w:rPr>
      </w:pPr>
      <w:bookmarkStart w:id="2" w:name="_Toc119534046"/>
      <w:r w:rsidRPr="00CB74C3">
        <w:rPr>
          <w:b/>
          <w:bCs/>
          <w:i/>
          <w:iCs/>
        </w:rPr>
        <w:lastRenderedPageBreak/>
        <w:t>EAC Exchange Rates 2000-2021</w:t>
      </w:r>
      <w:bookmarkEnd w:id="2"/>
    </w:p>
    <w:p w14:paraId="289598B9" w14:textId="57549D2B" w:rsidR="00F21A70" w:rsidRDefault="00F21A70" w:rsidP="00F21A70">
      <w:r>
        <w:t>Kenya’s exchange rate trend between 2000 to</w:t>
      </w:r>
      <w:r>
        <w:rPr>
          <w:spacing w:val="26"/>
        </w:rPr>
        <w:t xml:space="preserve"> </w:t>
      </w:r>
      <w:r>
        <w:t>2021 is shown in Figure 1.</w:t>
      </w:r>
    </w:p>
    <w:p w14:paraId="0E10AE5A" w14:textId="77777777" w:rsidR="00F21A70" w:rsidRDefault="00F21A70" w:rsidP="00F21A70">
      <w:pPr>
        <w:pStyle w:val="BodyText"/>
        <w:rPr>
          <w:sz w:val="20"/>
        </w:rPr>
      </w:pPr>
    </w:p>
    <w:p w14:paraId="30FD6E90" w14:textId="77777777" w:rsidR="00F21A70" w:rsidRDefault="00F21A70" w:rsidP="00F21A70">
      <w:pPr>
        <w:pStyle w:val="BodyText"/>
        <w:keepNext/>
        <w:spacing w:before="2"/>
      </w:pPr>
      <w:r>
        <w:rPr>
          <w:noProof/>
          <w:lang w:val="en-GB" w:eastAsia="en-GB"/>
        </w:rPr>
        <w:drawing>
          <wp:inline distT="0" distB="0" distL="0" distR="0" wp14:anchorId="0CD2F9F4" wp14:editId="6D7FFCFE">
            <wp:extent cx="5772150" cy="30099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87692D" w14:textId="14138489" w:rsidR="00F21A70" w:rsidRPr="00CB74C3" w:rsidRDefault="00F21A70" w:rsidP="00F21A70">
      <w:pPr>
        <w:rPr>
          <w:b/>
          <w:bCs/>
          <w:i/>
        </w:rPr>
      </w:pPr>
      <w:bookmarkStart w:id="3" w:name="_Toc116504153"/>
      <w:bookmarkStart w:id="4" w:name="_Toc118668870"/>
      <w:r w:rsidRPr="00CB74C3">
        <w:rPr>
          <w:b/>
          <w:bCs/>
        </w:rPr>
        <w:t>Figure 1</w:t>
      </w:r>
      <w:r w:rsidRPr="00CB74C3">
        <w:rPr>
          <w:b/>
          <w:bCs/>
          <w:i/>
        </w:rPr>
        <w:t>:</w:t>
      </w:r>
      <w:r w:rsidRPr="00CB74C3">
        <w:rPr>
          <w:b/>
          <w:bCs/>
        </w:rPr>
        <w:t xml:space="preserve"> EAC Exchange Rates Trend 2000-2021</w:t>
      </w:r>
      <w:bookmarkEnd w:id="3"/>
      <w:bookmarkEnd w:id="4"/>
    </w:p>
    <w:p w14:paraId="36DA952D" w14:textId="77777777" w:rsidR="00F21A70" w:rsidRPr="00CB74C3" w:rsidRDefault="00F21A70" w:rsidP="00F21A70">
      <w:pPr>
        <w:rPr>
          <w:b/>
          <w:bCs/>
        </w:rPr>
      </w:pPr>
      <w:r w:rsidRPr="00CB74C3">
        <w:rPr>
          <w:b/>
          <w:bCs/>
        </w:rPr>
        <w:t>Source: Authors compilation (2022)</w:t>
      </w:r>
    </w:p>
    <w:p w14:paraId="7A99B12B" w14:textId="54DAA9FF" w:rsidR="00F21A70" w:rsidRDefault="00F21A70" w:rsidP="00F21A70">
      <w:pPr>
        <w:rPr>
          <w:spacing w:val="2"/>
          <w:shd w:val="clear" w:color="auto" w:fill="FFFFFF"/>
        </w:rPr>
      </w:pPr>
      <w:r w:rsidRPr="007320E5">
        <w:t>From figure 1 it is evident that the three east African currencies –</w:t>
      </w:r>
      <w:r w:rsidR="00097BFD">
        <w:t xml:space="preserve">the </w:t>
      </w:r>
      <w:r w:rsidRPr="007320E5">
        <w:t xml:space="preserve">Kenya shilling, </w:t>
      </w:r>
      <w:r w:rsidR="00097BFD">
        <w:t xml:space="preserve">the </w:t>
      </w:r>
      <w:r w:rsidRPr="007320E5">
        <w:t>Uganda shilling</w:t>
      </w:r>
      <w:r w:rsidR="00097BFD">
        <w:t>,</w:t>
      </w:r>
      <w:r w:rsidRPr="007320E5">
        <w:t xml:space="preserve"> and Tanzanian Shilling have been depreciating more often than they have appreciated. With the exception of Tanzania which ha</w:t>
      </w:r>
      <w:r w:rsidR="00097BFD">
        <w:t>s</w:t>
      </w:r>
      <w:r w:rsidRPr="007320E5">
        <w:t xml:space="preserve"> had a consistent depreciation, Kenya and Uganda currencies were stable against the United States dollar between 2000 and 2004, followed by an appreciation </w:t>
      </w:r>
      <w:r w:rsidR="00097BFD">
        <w:t>that</w:t>
      </w:r>
      <w:r w:rsidRPr="007320E5">
        <w:t xml:space="preserve"> lasted in 2009 and a final epoch where the currencies have been depreciating to date. Like many developing countries </w:t>
      </w:r>
      <w:r w:rsidRPr="007320E5">
        <w:rPr>
          <w:spacing w:val="2"/>
          <w:shd w:val="clear" w:color="auto" w:fill="FFFFFF"/>
        </w:rPr>
        <w:t>the three EAC partner states have seen their currencies fall sharply in value over time, majorly due to declining commodity prices and a reversal of capital flows</w:t>
      </w:r>
      <w:r w:rsidRPr="00CB74C3">
        <w:t xml:space="preserve">. </w:t>
      </w:r>
      <w:r w:rsidRPr="00CB74C3">
        <w:fldChar w:fldCharType="begin"/>
      </w:r>
      <w:r w:rsidRPr="00CB74C3">
        <w:instrText xml:space="preserve"> ADDIN ZOTERO_ITEM CSL_CITATION {"citationID":"a1rr109607l","properties":{"formattedCitation":"\\uldash{(Proti, 2013)}","plainCitation":"(Proti, 2013)","noteIndex":0},"citationItems":[{"id":175,"uris":["http://zotero.org/users/local/gmijzRh7/items/R9XQTMVD"],"itemData":{"id":175,"type":"article-journal","abstract":"The purpose of this study is to examine the determinants of exchange rate movement in Tanzania. The issue is very relevant considering the current depreciation of Tanzania shilling and the shillings of other countries in the East African community and the importance of currency value in the economic growth of a country. Regression model is used to estimate the relationship between exchange rate change and inflation, interest rate, imports, exports, economic growth, political tension and national debt and literature review also is used to identify potential factors which can affect exchange rate movement. The empirical results of the study suggest that variables such as national debt, political tension and economic growth affect exchange rate movement in Tanzania. From the literature review other potential factors which can affect exchange movement are: central banks actions, unemployment outlook, news or surprises on currency, equity flows, currency management, risk aversion, government controls, terms of trade, current account deficit and commodity prices. The findings of this study have important implications for the Central Bank of Tanzania and other central banks in developing economies and their governments to know what may be a reason for falling or rising in values of their currencies.","language":"en","page":"9","source":"Zotero","title":"Exchange rate fluctuations-shock in Tanzania An empirical analysis","author":[{"family":"Proti","given":"Ntui Ponsian"}],"issued":{"date-parts":[["2013"]]}}}],"schema":"https://github.com/citation-style-language/schema/raw/master/csl-citation.json"} </w:instrText>
      </w:r>
      <w:r w:rsidRPr="00CB74C3">
        <w:fldChar w:fldCharType="separate"/>
      </w:r>
      <w:proofErr w:type="spellStart"/>
      <w:r w:rsidRPr="00CB74C3">
        <w:t>Proti</w:t>
      </w:r>
      <w:proofErr w:type="spellEnd"/>
      <w:r>
        <w:t xml:space="preserve"> (</w:t>
      </w:r>
      <w:r w:rsidRPr="00CB74C3">
        <w:t>2013)</w:t>
      </w:r>
      <w:r w:rsidRPr="00CB74C3">
        <w:fldChar w:fldCharType="end"/>
      </w:r>
      <w:r w:rsidRPr="00CB74C3">
        <w:t xml:space="preserve"> noted</w:t>
      </w:r>
      <w:r>
        <w:rPr>
          <w:spacing w:val="2"/>
          <w:shd w:val="clear" w:color="auto" w:fill="FFFFFF"/>
        </w:rPr>
        <w:t xml:space="preserve"> that currency depreciation against the dollar is not unique to any specific member of the EAC but a general trend.</w:t>
      </w:r>
    </w:p>
    <w:p w14:paraId="752EA5F2" w14:textId="4EF6CE7B" w:rsidR="00F21A70" w:rsidRPr="00DB72AC" w:rsidRDefault="00F21A70" w:rsidP="0061520D">
      <w:pPr>
        <w:rPr>
          <w:spacing w:val="2"/>
          <w:shd w:val="clear" w:color="auto" w:fill="FFFFFF"/>
        </w:rPr>
      </w:pPr>
      <w:r>
        <w:rPr>
          <w:shd w:val="clear" w:color="auto" w:fill="FFFFFF"/>
        </w:rPr>
        <w:t xml:space="preserve">The three currencies also exhibit a distinct pattern for the periods 2000-2004 when they are relatively stable, followed by a sudden appreciation </w:t>
      </w:r>
      <w:r w:rsidR="00097BFD">
        <w:rPr>
          <w:shd w:val="clear" w:color="auto" w:fill="FFFFFF"/>
        </w:rPr>
        <w:t xml:space="preserve">from </w:t>
      </w:r>
      <w:r>
        <w:rPr>
          <w:shd w:val="clear" w:color="auto" w:fill="FFFFFF"/>
        </w:rPr>
        <w:t>2004-2009, and another sudden shift towards depreciation up to 2015, a slight appreciation towards the end of 2015 and finally a fairly stable period to date. Such tendencies are most likely associated with volatility</w:t>
      </w:r>
      <w:r w:rsidRPr="00C17CEE">
        <w:t>.</w:t>
      </w:r>
      <w:r w:rsidRPr="00C17CEE">
        <w:fldChar w:fldCharType="begin"/>
      </w:r>
      <w:r w:rsidRPr="00C17CEE">
        <w:instrText xml:space="preserve"> ADDIN ZOTERO_ITEM CSL_CITATION {"citationID":"a1celfkpsrm","properties":{"formattedCitation":"\\uldash{(Epaphra &amp; Kazungu, 2021)}","plainCitation":"(Epaphra &amp; Kazungu, 2021)","noteIndex":0},"citationItems":[{"id":173,"uris":["http://zotero.org/users/local/gmijzRh7/items/4VLAFEAP"],"itemData":{"id":173,"type":"article-journal","abstract":"This paper examines market efficiency in the foreign exchange market in Tanzania. A nonlinear Markov switching model was used to analyse the Tanzanian shilling against the US dollar spanning from 2 January 2009 to 30 April 2020. The estimation period was 2 January 2009–28 May 2019, and the post‐sample forecast period was 28 May 2019–30 April 2020. From the results of the two‐state Markov switching model, we define State 1, which is more volatile, as the inefficient state and State 2, which is less volatile, as the efficient one. In the unconditional probabilities from the Markov switching model, the exchange rate has a 94% probability in the inefficient state, which indicates that 94% of all speculators fully extract information when predicting future exchange rates, while 30% of all investors do not; suggesting that the foreign exchange market undergoes conditions of efficiency and inefficiency. In addition, findings showed that the exchange rate is expected to spend approximately 18 days in regime 1 and 8 days in regime 2. The policy implication of these findings is that foreign exchange market participants should pay attention to regimes and underlying market conditions when designing and applying their investment strategies.","container-title":"African Development Review","DOI":"10.1111/1467-8268.12538","ISSN":"1017-6772, 1467-8268","issue":"2","journalAbbreviation":"Afr Dev Rev","language":"en","page":"368-381","source":"DOI.org (Crossref)","title":"Efficiency of Tanzania's foreign exchange market","volume":"33","author":[{"family":"Epaphra","given":"Manamba"},{"family":"Kazungu","given":"Khatibu"}],"issued":{"date-parts":[["2021",6]]}}}],"schema":"https://github.com/citation-style-language/schema/raw/master/csl-citation.json"} </w:instrText>
      </w:r>
      <w:r w:rsidRPr="00C17CEE">
        <w:fldChar w:fldCharType="separate"/>
      </w:r>
      <w:r>
        <w:t xml:space="preserve"> </w:t>
      </w:r>
      <w:r w:rsidRPr="00C17CEE">
        <w:t xml:space="preserve">Epaphra </w:t>
      </w:r>
      <w:r w:rsidR="0061520D">
        <w:t xml:space="preserve">and </w:t>
      </w:r>
      <w:proofErr w:type="spellStart"/>
      <w:r w:rsidRPr="00C17CEE">
        <w:t>Kazungu</w:t>
      </w:r>
      <w:proofErr w:type="spellEnd"/>
      <w:r>
        <w:t xml:space="preserve"> (</w:t>
      </w:r>
      <w:r w:rsidRPr="00C17CEE">
        <w:t>2021)</w:t>
      </w:r>
      <w:r w:rsidRPr="00C17CEE">
        <w:fldChar w:fldCharType="end"/>
      </w:r>
      <w:r w:rsidRPr="00C17CEE">
        <w:t xml:space="preserve"> claims that volatility happens in clusters, citing the propensity for significant foreign exchange fluctuations (negative or positive) to occur after significant changes and vice</w:t>
      </w:r>
      <w:r w:rsidRPr="002C08E2">
        <w:rPr>
          <w:shd w:val="clear" w:color="auto" w:fill="FFFFFF"/>
        </w:rPr>
        <w:t xml:space="preserve"> versa.</w:t>
      </w:r>
    </w:p>
    <w:p w14:paraId="19A12157" w14:textId="51D3B59B" w:rsidR="00F21A70" w:rsidRDefault="00F21A70" w:rsidP="0061520D">
      <w:r>
        <w:t>In nominal terms, the Kenyan shilling maintained a general stable appreciation trend from 2000 to 2008, on the other hand, the Kenya shilling (</w:t>
      </w:r>
      <w:proofErr w:type="spellStart"/>
      <w:r>
        <w:t>Ksh</w:t>
      </w:r>
      <w:proofErr w:type="spellEnd"/>
      <w:r>
        <w:t xml:space="preserve">) has exhibited a steady depreciating trend. The </w:t>
      </w:r>
      <w:proofErr w:type="spellStart"/>
      <w:r w:rsidRPr="002D3470">
        <w:rPr>
          <w:rStyle w:val="sw"/>
          <w:szCs w:val="24"/>
        </w:rPr>
        <w:t>Ksh</w:t>
      </w:r>
      <w:proofErr w:type="spellEnd"/>
      <w:r w:rsidRPr="002D3470">
        <w:rPr>
          <w:shd w:val="clear" w:color="auto" w:fill="FFFFFF"/>
        </w:rPr>
        <w:t xml:space="preserve"> </w:t>
      </w:r>
      <w:r w:rsidRPr="002D3470">
        <w:rPr>
          <w:rStyle w:val="sw"/>
          <w:szCs w:val="24"/>
        </w:rPr>
        <w:t>has</w:t>
      </w:r>
      <w:r w:rsidRPr="002D3470">
        <w:rPr>
          <w:shd w:val="clear" w:color="auto" w:fill="FFFFFF"/>
        </w:rPr>
        <w:t xml:space="preserve"> </w:t>
      </w:r>
      <w:r w:rsidRPr="002D3470">
        <w:rPr>
          <w:rStyle w:val="sw"/>
          <w:szCs w:val="24"/>
        </w:rPr>
        <w:t>experienced</w:t>
      </w:r>
      <w:r w:rsidRPr="002D3470">
        <w:rPr>
          <w:shd w:val="clear" w:color="auto" w:fill="FFFFFF"/>
        </w:rPr>
        <w:t xml:space="preserve"> </w:t>
      </w:r>
      <w:r w:rsidRPr="002D3470">
        <w:rPr>
          <w:rStyle w:val="sw"/>
          <w:szCs w:val="24"/>
        </w:rPr>
        <w:t>excessive</w:t>
      </w:r>
      <w:r w:rsidRPr="002D3470">
        <w:rPr>
          <w:shd w:val="clear" w:color="auto" w:fill="FFFFFF"/>
        </w:rPr>
        <w:t xml:space="preserve"> </w:t>
      </w:r>
      <w:r w:rsidRPr="002D3470">
        <w:rPr>
          <w:rStyle w:val="sw"/>
          <w:bCs/>
          <w:szCs w:val="24"/>
        </w:rPr>
        <w:t>declines</w:t>
      </w:r>
      <w:r w:rsidRPr="002D3470">
        <w:rPr>
          <w:shd w:val="clear" w:color="auto" w:fill="FFFFFF"/>
        </w:rPr>
        <w:t xml:space="preserve"> </w:t>
      </w:r>
      <w:r w:rsidRPr="002D3470">
        <w:rPr>
          <w:rStyle w:val="sw"/>
          <w:szCs w:val="24"/>
        </w:rPr>
        <w:t>since</w:t>
      </w:r>
      <w:r w:rsidRPr="002D3470">
        <w:rPr>
          <w:shd w:val="clear" w:color="auto" w:fill="FFFFFF"/>
        </w:rPr>
        <w:t xml:space="preserve"> </w:t>
      </w:r>
      <w:r w:rsidRPr="002D3470">
        <w:rPr>
          <w:rStyle w:val="sw"/>
          <w:szCs w:val="24"/>
        </w:rPr>
        <w:t>2008,</w:t>
      </w:r>
      <w:r w:rsidRPr="002D3470">
        <w:rPr>
          <w:shd w:val="clear" w:color="auto" w:fill="FFFFFF"/>
        </w:rPr>
        <w:t xml:space="preserve"> </w:t>
      </w:r>
      <w:r w:rsidRPr="002D3470">
        <w:rPr>
          <w:rStyle w:val="sw"/>
          <w:szCs w:val="24"/>
        </w:rPr>
        <w:t>showing</w:t>
      </w:r>
      <w:r w:rsidRPr="002D3470">
        <w:rPr>
          <w:shd w:val="clear" w:color="auto" w:fill="FFFFFF"/>
        </w:rPr>
        <w:t xml:space="preserve"> </w:t>
      </w:r>
      <w:r w:rsidRPr="002D3470">
        <w:rPr>
          <w:rStyle w:val="sw"/>
          <w:bCs/>
          <w:szCs w:val="24"/>
        </w:rPr>
        <w:t>nominal</w:t>
      </w:r>
      <w:r w:rsidRPr="002D3470">
        <w:rPr>
          <w:shd w:val="clear" w:color="auto" w:fill="FFFFFF"/>
        </w:rPr>
        <w:t xml:space="preserve"> </w:t>
      </w:r>
      <w:r w:rsidRPr="002D3470">
        <w:rPr>
          <w:rStyle w:val="sw"/>
          <w:bCs/>
          <w:szCs w:val="24"/>
        </w:rPr>
        <w:t>weakness</w:t>
      </w:r>
      <w:r w:rsidRPr="002D3470">
        <w:rPr>
          <w:shd w:val="clear" w:color="auto" w:fill="FFFFFF"/>
        </w:rPr>
        <w:t xml:space="preserve"> </w:t>
      </w:r>
      <w:r w:rsidRPr="002D3470">
        <w:rPr>
          <w:rStyle w:val="sw"/>
          <w:szCs w:val="24"/>
        </w:rPr>
        <w:t>in</w:t>
      </w:r>
      <w:r w:rsidRPr="002D3470">
        <w:rPr>
          <w:shd w:val="clear" w:color="auto" w:fill="FFFFFF"/>
        </w:rPr>
        <w:t xml:space="preserve"> </w:t>
      </w:r>
      <w:r w:rsidRPr="002D3470">
        <w:rPr>
          <w:rStyle w:val="sw"/>
          <w:bCs/>
          <w:szCs w:val="24"/>
        </w:rPr>
        <w:t>the</w:t>
      </w:r>
      <w:r w:rsidRPr="002D3470">
        <w:rPr>
          <w:shd w:val="clear" w:color="auto" w:fill="FFFFFF"/>
        </w:rPr>
        <w:t xml:space="preserve"> </w:t>
      </w:r>
      <w:r w:rsidRPr="002D3470">
        <w:rPr>
          <w:rStyle w:val="sw"/>
          <w:bCs/>
          <w:szCs w:val="24"/>
        </w:rPr>
        <w:t>wake</w:t>
      </w:r>
      <w:r w:rsidRPr="002D3470">
        <w:rPr>
          <w:shd w:val="clear" w:color="auto" w:fill="FFFFFF"/>
        </w:rPr>
        <w:t xml:space="preserve"> </w:t>
      </w:r>
      <w:r w:rsidRPr="002D3470">
        <w:rPr>
          <w:rStyle w:val="sw"/>
          <w:szCs w:val="24"/>
        </w:rPr>
        <w:t>of</w:t>
      </w:r>
      <w:r w:rsidRPr="002D3470">
        <w:rPr>
          <w:shd w:val="clear" w:color="auto" w:fill="FFFFFF"/>
        </w:rPr>
        <w:t xml:space="preserve"> </w:t>
      </w:r>
      <w:r w:rsidRPr="002D3470">
        <w:rPr>
          <w:rStyle w:val="sw"/>
          <w:szCs w:val="24"/>
        </w:rPr>
        <w:t>the</w:t>
      </w:r>
      <w:r w:rsidRPr="002D3470">
        <w:rPr>
          <w:shd w:val="clear" w:color="auto" w:fill="FFFFFF"/>
        </w:rPr>
        <w:t xml:space="preserve"> </w:t>
      </w:r>
      <w:r w:rsidRPr="002D3470">
        <w:rPr>
          <w:rStyle w:val="sw"/>
          <w:szCs w:val="24"/>
        </w:rPr>
        <w:t>global</w:t>
      </w:r>
      <w:r w:rsidRPr="002D3470">
        <w:rPr>
          <w:shd w:val="clear" w:color="auto" w:fill="FFFFFF"/>
        </w:rPr>
        <w:t xml:space="preserve"> </w:t>
      </w:r>
      <w:r w:rsidRPr="002D3470">
        <w:rPr>
          <w:rStyle w:val="sw"/>
          <w:szCs w:val="24"/>
        </w:rPr>
        <w:t>financial</w:t>
      </w:r>
      <w:r w:rsidRPr="002D3470">
        <w:rPr>
          <w:shd w:val="clear" w:color="auto" w:fill="FFFFFF"/>
        </w:rPr>
        <w:t xml:space="preserve"> </w:t>
      </w:r>
      <w:r w:rsidRPr="002D3470">
        <w:rPr>
          <w:rStyle w:val="sw"/>
          <w:szCs w:val="24"/>
        </w:rPr>
        <w:t>crisis.</w:t>
      </w:r>
      <w:r w:rsidRPr="002D3470">
        <w:rPr>
          <w:shd w:val="clear" w:color="auto" w:fill="FFFFFF"/>
        </w:rPr>
        <w:t xml:space="preserve"> </w:t>
      </w:r>
      <w:r w:rsidRPr="002D3470">
        <w:rPr>
          <w:rStyle w:val="sw"/>
          <w:bCs/>
          <w:szCs w:val="24"/>
        </w:rPr>
        <w:t>Like</w:t>
      </w:r>
      <w:r w:rsidRPr="002D3470">
        <w:rPr>
          <w:shd w:val="clear" w:color="auto" w:fill="FFFFFF"/>
        </w:rPr>
        <w:t xml:space="preserve"> </w:t>
      </w:r>
      <w:r w:rsidRPr="002D3470">
        <w:rPr>
          <w:rStyle w:val="sw"/>
          <w:szCs w:val="24"/>
        </w:rPr>
        <w:t>other</w:t>
      </w:r>
      <w:r w:rsidRPr="002D3470">
        <w:rPr>
          <w:shd w:val="clear" w:color="auto" w:fill="FFFFFF"/>
        </w:rPr>
        <w:t xml:space="preserve"> </w:t>
      </w:r>
      <w:r w:rsidRPr="002D3470">
        <w:rPr>
          <w:rStyle w:val="sw"/>
          <w:szCs w:val="24"/>
        </w:rPr>
        <w:t>world</w:t>
      </w:r>
      <w:r w:rsidRPr="002D3470">
        <w:rPr>
          <w:shd w:val="clear" w:color="auto" w:fill="FFFFFF"/>
        </w:rPr>
        <w:t xml:space="preserve"> </w:t>
      </w:r>
      <w:r w:rsidRPr="002D3470">
        <w:rPr>
          <w:rStyle w:val="sw"/>
          <w:szCs w:val="24"/>
        </w:rPr>
        <w:t>currencies,</w:t>
      </w:r>
      <w:r w:rsidRPr="002D3470">
        <w:rPr>
          <w:shd w:val="clear" w:color="auto" w:fill="FFFFFF"/>
        </w:rPr>
        <w:t xml:space="preserve"> </w:t>
      </w:r>
      <w:proofErr w:type="spellStart"/>
      <w:r w:rsidRPr="002D3470">
        <w:rPr>
          <w:rStyle w:val="sw"/>
          <w:szCs w:val="24"/>
        </w:rPr>
        <w:t>Ksh</w:t>
      </w:r>
      <w:proofErr w:type="spellEnd"/>
      <w:r w:rsidRPr="002D3470">
        <w:rPr>
          <w:shd w:val="clear" w:color="auto" w:fill="FFFFFF"/>
        </w:rPr>
        <w:t xml:space="preserve"> </w:t>
      </w:r>
      <w:r w:rsidRPr="002D3470">
        <w:rPr>
          <w:rStyle w:val="sw"/>
          <w:bCs/>
          <w:szCs w:val="24"/>
        </w:rPr>
        <w:t>continued</w:t>
      </w:r>
      <w:r w:rsidRPr="002D3470">
        <w:rPr>
          <w:shd w:val="clear" w:color="auto" w:fill="FFFFFF"/>
        </w:rPr>
        <w:t xml:space="preserve"> </w:t>
      </w:r>
      <w:r w:rsidRPr="002D3470">
        <w:rPr>
          <w:rStyle w:val="sw"/>
          <w:bCs/>
          <w:szCs w:val="24"/>
        </w:rPr>
        <w:t>to</w:t>
      </w:r>
      <w:r w:rsidRPr="002D3470">
        <w:rPr>
          <w:shd w:val="clear" w:color="auto" w:fill="FFFFFF"/>
        </w:rPr>
        <w:t xml:space="preserve"> </w:t>
      </w:r>
      <w:r w:rsidRPr="002D3470">
        <w:rPr>
          <w:rStyle w:val="sw"/>
          <w:bCs/>
          <w:szCs w:val="24"/>
        </w:rPr>
        <w:t>fall</w:t>
      </w:r>
      <w:r w:rsidRPr="002D3470">
        <w:rPr>
          <w:shd w:val="clear" w:color="auto" w:fill="FFFFFF"/>
        </w:rPr>
        <w:t xml:space="preserve"> </w:t>
      </w:r>
      <w:r w:rsidRPr="002D3470">
        <w:rPr>
          <w:rStyle w:val="sw"/>
          <w:szCs w:val="24"/>
        </w:rPr>
        <w:t>in</w:t>
      </w:r>
      <w:r w:rsidRPr="002D3470">
        <w:rPr>
          <w:shd w:val="clear" w:color="auto" w:fill="FFFFFF"/>
        </w:rPr>
        <w:t xml:space="preserve"> </w:t>
      </w:r>
      <w:r w:rsidRPr="002D3470">
        <w:rPr>
          <w:rStyle w:val="sw"/>
          <w:bCs/>
          <w:szCs w:val="24"/>
        </w:rPr>
        <w:t>2015</w:t>
      </w:r>
      <w:r w:rsidRPr="002D3470">
        <w:rPr>
          <w:shd w:val="clear" w:color="auto" w:fill="FFFFFF"/>
        </w:rPr>
        <w:t xml:space="preserve"> </w:t>
      </w:r>
      <w:r w:rsidRPr="002D3470">
        <w:rPr>
          <w:rStyle w:val="sw"/>
          <w:bCs/>
          <w:szCs w:val="24"/>
        </w:rPr>
        <w:t>in</w:t>
      </w:r>
      <w:r w:rsidRPr="002D3470">
        <w:rPr>
          <w:shd w:val="clear" w:color="auto" w:fill="FFFFFF"/>
        </w:rPr>
        <w:t xml:space="preserve"> </w:t>
      </w:r>
      <w:r w:rsidRPr="002D3470">
        <w:rPr>
          <w:rStyle w:val="sw"/>
          <w:szCs w:val="24"/>
        </w:rPr>
        <w:t>real</w:t>
      </w:r>
      <w:r w:rsidRPr="002D3470">
        <w:rPr>
          <w:shd w:val="clear" w:color="auto" w:fill="FFFFFF"/>
        </w:rPr>
        <w:t xml:space="preserve"> </w:t>
      </w:r>
      <w:r w:rsidRPr="002D3470">
        <w:rPr>
          <w:rStyle w:val="sw"/>
          <w:szCs w:val="24"/>
        </w:rPr>
        <w:t>and</w:t>
      </w:r>
      <w:r w:rsidRPr="002D3470">
        <w:rPr>
          <w:shd w:val="clear" w:color="auto" w:fill="FFFFFF"/>
        </w:rPr>
        <w:t xml:space="preserve"> </w:t>
      </w:r>
      <w:r w:rsidRPr="002D3470">
        <w:rPr>
          <w:rStyle w:val="sw"/>
          <w:szCs w:val="24"/>
        </w:rPr>
        <w:t>nominal</w:t>
      </w:r>
      <w:r w:rsidRPr="002D3470">
        <w:rPr>
          <w:shd w:val="clear" w:color="auto" w:fill="FFFFFF"/>
        </w:rPr>
        <w:t xml:space="preserve"> </w:t>
      </w:r>
      <w:r w:rsidRPr="002D3470">
        <w:rPr>
          <w:rStyle w:val="sw"/>
          <w:szCs w:val="24"/>
        </w:rPr>
        <w:t>terms</w:t>
      </w:r>
      <w:r w:rsidRPr="002D3470">
        <w:rPr>
          <w:shd w:val="clear" w:color="auto" w:fill="FFFFFF"/>
        </w:rPr>
        <w:t xml:space="preserve"> </w:t>
      </w:r>
      <w:r w:rsidRPr="002D3470">
        <w:rPr>
          <w:rStyle w:val="sw"/>
          <w:bCs/>
          <w:szCs w:val="24"/>
        </w:rPr>
        <w:t>after</w:t>
      </w:r>
      <w:r w:rsidRPr="002D3470">
        <w:rPr>
          <w:shd w:val="clear" w:color="auto" w:fill="FFFFFF"/>
        </w:rPr>
        <w:t xml:space="preserve"> </w:t>
      </w:r>
      <w:r w:rsidRPr="002D3470">
        <w:rPr>
          <w:rStyle w:val="sw"/>
          <w:szCs w:val="24"/>
        </w:rPr>
        <w:t>the</w:t>
      </w:r>
      <w:r w:rsidRPr="002D3470">
        <w:rPr>
          <w:shd w:val="clear" w:color="auto" w:fill="FFFFFF"/>
        </w:rPr>
        <w:t xml:space="preserve"> </w:t>
      </w:r>
      <w:r w:rsidRPr="002D3470">
        <w:rPr>
          <w:rStyle w:val="sw"/>
          <w:szCs w:val="24"/>
        </w:rPr>
        <w:t>dollar</w:t>
      </w:r>
      <w:r w:rsidRPr="002D3470">
        <w:rPr>
          <w:shd w:val="clear" w:color="auto" w:fill="FFFFFF"/>
        </w:rPr>
        <w:t xml:space="preserve"> </w:t>
      </w:r>
      <w:r w:rsidRPr="002D3470">
        <w:rPr>
          <w:rStyle w:val="sw"/>
          <w:bCs/>
          <w:szCs w:val="24"/>
        </w:rPr>
        <w:t>rose</w:t>
      </w:r>
      <w:r w:rsidRPr="002D3470">
        <w:rPr>
          <w:shd w:val="clear" w:color="auto" w:fill="FFFFFF"/>
        </w:rPr>
        <w:t xml:space="preserve"> </w:t>
      </w:r>
      <w:r w:rsidRPr="002D3470">
        <w:rPr>
          <w:rStyle w:val="sw"/>
          <w:szCs w:val="24"/>
        </w:rPr>
        <w:t>against</w:t>
      </w:r>
      <w:r w:rsidRPr="002D3470">
        <w:rPr>
          <w:shd w:val="clear" w:color="auto" w:fill="FFFFFF"/>
        </w:rPr>
        <w:t xml:space="preserve"> </w:t>
      </w:r>
      <w:r w:rsidRPr="002D3470">
        <w:rPr>
          <w:rStyle w:val="sw"/>
          <w:szCs w:val="24"/>
        </w:rPr>
        <w:t>other</w:t>
      </w:r>
      <w:r w:rsidRPr="002D3470">
        <w:rPr>
          <w:shd w:val="clear" w:color="auto" w:fill="FFFFFF"/>
        </w:rPr>
        <w:t xml:space="preserve"> </w:t>
      </w:r>
      <w:r w:rsidRPr="002D3470">
        <w:rPr>
          <w:rStyle w:val="sw"/>
          <w:szCs w:val="24"/>
        </w:rPr>
        <w:t>currencies</w:t>
      </w:r>
      <w:r w:rsidRPr="002D3470">
        <w:rPr>
          <w:shd w:val="clear" w:color="auto" w:fill="FFFFFF"/>
        </w:rPr>
        <w:t xml:space="preserve"> </w:t>
      </w:r>
      <w:r w:rsidRPr="002D3470">
        <w:rPr>
          <w:rStyle w:val="sw"/>
          <w:bCs/>
          <w:szCs w:val="24"/>
        </w:rPr>
        <w:t>around</w:t>
      </w:r>
      <w:r w:rsidRPr="002D3470">
        <w:rPr>
          <w:shd w:val="clear" w:color="auto" w:fill="FFFFFF"/>
        </w:rPr>
        <w:t xml:space="preserve"> </w:t>
      </w:r>
      <w:r w:rsidRPr="002D3470">
        <w:rPr>
          <w:rStyle w:val="sw"/>
          <w:bCs/>
          <w:szCs w:val="24"/>
        </w:rPr>
        <w:t>the</w:t>
      </w:r>
      <w:r w:rsidRPr="002D3470">
        <w:rPr>
          <w:shd w:val="clear" w:color="auto" w:fill="FFFFFF"/>
        </w:rPr>
        <w:t xml:space="preserve"> </w:t>
      </w:r>
      <w:r w:rsidRPr="002D3470">
        <w:rPr>
          <w:rStyle w:val="sw"/>
          <w:bCs/>
          <w:szCs w:val="24"/>
        </w:rPr>
        <w:t>world</w:t>
      </w:r>
      <w:r>
        <w:rPr>
          <w:rStyle w:val="sw"/>
          <w:bCs/>
          <w:szCs w:val="24"/>
        </w:rPr>
        <w:t xml:space="preserve"> </w:t>
      </w:r>
      <w:r>
        <w:t>(</w:t>
      </w:r>
      <w:proofErr w:type="spellStart"/>
      <w:r>
        <w:t>Yabu</w:t>
      </w:r>
      <w:proofErr w:type="spellEnd"/>
      <w:r>
        <w:t xml:space="preserve"> &amp; </w:t>
      </w:r>
      <w:proofErr w:type="spellStart"/>
      <w:r>
        <w:t>Kimolo</w:t>
      </w:r>
      <w:proofErr w:type="spellEnd"/>
      <w:r w:rsidR="0061520D">
        <w:t xml:space="preserve">, </w:t>
      </w:r>
      <w:r>
        <w:t xml:space="preserve">2020).  </w:t>
      </w:r>
    </w:p>
    <w:p w14:paraId="5588B3C9" w14:textId="534C33D1" w:rsidR="00F21A70" w:rsidRDefault="00F21A70" w:rsidP="00F21A70">
      <w:r w:rsidRPr="002D3470">
        <w:lastRenderedPageBreak/>
        <w:t>The depreciation of the Tanzanian shilling exchange rate and associated volatility is due to, among other things, the increasing global demand for the dollar, the rapid expansion of oil imports</w:t>
      </w:r>
      <w:r w:rsidR="00097BFD">
        <w:t>,</w:t>
      </w:r>
      <w:r w:rsidRPr="002D3470">
        <w:t xml:space="preserve"> and the delay in supporting overseas programs. </w:t>
      </w:r>
      <w:r w:rsidRPr="00D666B3">
        <w:t>Due to the US dollar's overall strength against other currencies as a result of increased US economic activity, the significant decrease in 2015 was unavoidable.</w:t>
      </w:r>
      <w:r>
        <w:t xml:space="preserve"> </w:t>
      </w:r>
      <w:r w:rsidRPr="002D3470">
        <w:t xml:space="preserve">As with other EAC member countries under study, the </w:t>
      </w:r>
      <w:r>
        <w:t xml:space="preserve">Ugandan </w:t>
      </w:r>
      <w:r w:rsidRPr="002D3470">
        <w:t xml:space="preserve">exchange rate has been highly volatile </w:t>
      </w:r>
      <w:r w:rsidR="00097BFD">
        <w:t>since</w:t>
      </w:r>
      <w:r w:rsidRPr="002D3470">
        <w:t xml:space="preserve"> 2000, with two </w:t>
      </w:r>
      <w:r>
        <w:t>sudden</w:t>
      </w:r>
      <w:r w:rsidRPr="002D3470">
        <w:t xml:space="preserve"> devaluations in 2011 and the first half of 2015. Also, be careful. Movements in real effective exchange rates are often reflected in nominal exchange rate movements </w:t>
      </w:r>
      <w:r>
        <w:t>(</w:t>
      </w:r>
      <w:proofErr w:type="spellStart"/>
      <w:r>
        <w:t>Yabu</w:t>
      </w:r>
      <w:proofErr w:type="spellEnd"/>
      <w:r>
        <w:t xml:space="preserve"> &amp; </w:t>
      </w:r>
      <w:proofErr w:type="spellStart"/>
      <w:r>
        <w:t>Kimolo</w:t>
      </w:r>
      <w:proofErr w:type="spellEnd"/>
      <w:r w:rsidR="0061520D">
        <w:t xml:space="preserve">, </w:t>
      </w:r>
      <w:r>
        <w:t>2020).</w:t>
      </w:r>
    </w:p>
    <w:p w14:paraId="78661429" w14:textId="6C4B9814" w:rsidR="00F21A70" w:rsidRDefault="00F21A70" w:rsidP="00F21A70">
      <w:r>
        <w:t xml:space="preserve">One notable issue is that in </w:t>
      </w:r>
      <w:r w:rsidRPr="00E85739">
        <w:t>the early 1990s, all EAC countries adopted st</w:t>
      </w:r>
      <w:r>
        <w:t>ructural adjustment programs (SA</w:t>
      </w:r>
      <w:r w:rsidRPr="00E85739">
        <w:t>Ps) and various other macroeconomic reforms led by the IMF and the World Bank. The</w:t>
      </w:r>
      <w:r>
        <w:t xml:space="preserve"> focus of these</w:t>
      </w:r>
      <w:r w:rsidRPr="00E85739">
        <w:t xml:space="preserve"> reforms </w:t>
      </w:r>
      <w:r>
        <w:t>was mainly</w:t>
      </w:r>
      <w:r w:rsidRPr="00E85739">
        <w:t xml:space="preserve"> polic</w:t>
      </w:r>
      <w:r>
        <w:t>ies to do with</w:t>
      </w:r>
      <w:r w:rsidRPr="00E85739">
        <w:t xml:space="preserve"> foreign trade and market exchange. </w:t>
      </w:r>
      <w:r w:rsidRPr="00D666B3">
        <w:t>The establishment of a market-based exchange rate system has caused periodic fluctuations in the exchange rates of the EAC. These currency rate changes are occasionally so significant in some EAC member nations that they have led to volatility brought on by bo</w:t>
      </w:r>
      <w:r>
        <w:t>th internal and external shocks</w:t>
      </w:r>
      <w:r w:rsidRPr="00D666B3">
        <w:t xml:space="preserve"> </w:t>
      </w:r>
      <w:r>
        <w:t>(</w:t>
      </w:r>
      <w:proofErr w:type="spellStart"/>
      <w:r>
        <w:t>Yabu</w:t>
      </w:r>
      <w:proofErr w:type="spellEnd"/>
      <w:r>
        <w:t xml:space="preserve"> &amp; </w:t>
      </w:r>
      <w:proofErr w:type="spellStart"/>
      <w:r>
        <w:t>Kimolo</w:t>
      </w:r>
      <w:proofErr w:type="spellEnd"/>
      <w:r w:rsidR="0061520D">
        <w:t xml:space="preserve">, </w:t>
      </w:r>
      <w:r>
        <w:t xml:space="preserve">2020). </w:t>
      </w:r>
    </w:p>
    <w:p w14:paraId="7F20698B" w14:textId="44BCBAAA" w:rsidR="00F21A70" w:rsidRPr="00CB74C3" w:rsidRDefault="00F21A70" w:rsidP="00F21A70">
      <w:pPr>
        <w:rPr>
          <w:b/>
          <w:bCs/>
          <w:i/>
          <w:iCs/>
        </w:rPr>
      </w:pPr>
      <w:bookmarkStart w:id="5" w:name="_Toc119534047"/>
      <w:r w:rsidRPr="00CB74C3">
        <w:rPr>
          <w:b/>
          <w:bCs/>
          <w:i/>
          <w:iCs/>
        </w:rPr>
        <w:t>Commercial banks</w:t>
      </w:r>
      <w:r w:rsidR="00097BFD">
        <w:rPr>
          <w:b/>
          <w:bCs/>
          <w:i/>
          <w:iCs/>
        </w:rPr>
        <w:t>'</w:t>
      </w:r>
      <w:r w:rsidRPr="00CB74C3">
        <w:rPr>
          <w:b/>
          <w:bCs/>
          <w:i/>
          <w:iCs/>
        </w:rPr>
        <w:t xml:space="preserve"> performance in EAC 2000-2020</w:t>
      </w:r>
      <w:bookmarkEnd w:id="5"/>
    </w:p>
    <w:p w14:paraId="197DF50E" w14:textId="116D9BA0" w:rsidR="00F21A70" w:rsidRDefault="00F21A70" w:rsidP="00F21A70">
      <w:r w:rsidRPr="00D666B3">
        <w:t>Profitability is the primary indicator of a commercial bank's financial performance. The profitability of banks in the EAC is impacted by both internal and external variables, just like all other banks worldwide. Internal variables can be thought of as a unique factor that impacts a bank's profitability because they are indications derived from a bank's financial statements (balance sheet, profit</w:t>
      </w:r>
      <w:r w:rsidR="00097BFD">
        <w:t>,</w:t>
      </w:r>
      <w:r w:rsidRPr="00D666B3">
        <w:t xml:space="preserve"> and loss account)</w:t>
      </w:r>
      <w:r w:rsidR="00097BFD">
        <w:t xml:space="preserve"> </w:t>
      </w:r>
      <w:r w:rsidRPr="00E85739">
        <w:t>(</w:t>
      </w:r>
      <w:proofErr w:type="spellStart"/>
      <w:r w:rsidRPr="00E85739">
        <w:t>Wahdan</w:t>
      </w:r>
      <w:proofErr w:type="spellEnd"/>
      <w:r w:rsidRPr="00E85739">
        <w:t xml:space="preserve"> </w:t>
      </w:r>
      <w:r w:rsidR="00097BFD">
        <w:t xml:space="preserve">&amp; </w:t>
      </w:r>
      <w:proofErr w:type="spellStart"/>
      <w:r w:rsidRPr="00E85739">
        <w:t>Leithy</w:t>
      </w:r>
      <w:proofErr w:type="spellEnd"/>
      <w:r w:rsidR="00097BFD">
        <w:t>,</w:t>
      </w:r>
      <w:r w:rsidRPr="00E85739">
        <w:t xml:space="preserve"> 2017). </w:t>
      </w:r>
      <w:r w:rsidRPr="00D666B3">
        <w:t>External variables are those that reflect the economic and regulatory environment and are not controlled by bank management but yet have an indirect impact on the perform</w:t>
      </w:r>
      <w:r>
        <w:t>ance and profitability of banks (Tobias &amp; Themba,</w:t>
      </w:r>
      <w:r>
        <w:rPr>
          <w:spacing w:val="14"/>
        </w:rPr>
        <w:t xml:space="preserve"> </w:t>
      </w:r>
      <w:r>
        <w:t>2011).</w:t>
      </w:r>
    </w:p>
    <w:p w14:paraId="102EE1CC" w14:textId="285D74B9" w:rsidR="00F21A70" w:rsidRDefault="00F21A70" w:rsidP="00F21A70">
      <w:r w:rsidRPr="00D666B3">
        <w:rPr>
          <w:szCs w:val="24"/>
        </w:rPr>
        <w:t>Various profitability ratios exist, and they can be used by businesses to shed light on the health and performance of their finances, according to the Corporate Finance Institute. There are two categories in which to place these ratios. First, the firm</w:t>
      </w:r>
      <w:r w:rsidR="00097BFD">
        <w:rPr>
          <w:szCs w:val="24"/>
        </w:rPr>
        <w:t>'s</w:t>
      </w:r>
      <w:r w:rsidRPr="00D666B3">
        <w:rPr>
          <w:szCs w:val="24"/>
        </w:rPr>
        <w:t xml:space="preserve"> ability to turn a variety of sales into profit is shown by the margin ratio. The operational profit margin, net profit margin, cash flow margin, and gross profit margin are some of these ratios. </w:t>
      </w:r>
      <w:r w:rsidRPr="00FE6EED">
        <w:rPr>
          <w:szCs w:val="24"/>
        </w:rPr>
        <w:t>The profitability ratio, which takes into account return</w:t>
      </w:r>
      <w:r>
        <w:rPr>
          <w:szCs w:val="24"/>
        </w:rPr>
        <w:t>s</w:t>
      </w:r>
      <w:r w:rsidRPr="00FE6EED">
        <w:rPr>
          <w:szCs w:val="24"/>
        </w:rPr>
        <w:t xml:space="preserve"> on</w:t>
      </w:r>
      <w:r>
        <w:rPr>
          <w:szCs w:val="24"/>
        </w:rPr>
        <w:t>:</w:t>
      </w:r>
      <w:r w:rsidRPr="00FE6EED">
        <w:rPr>
          <w:szCs w:val="24"/>
        </w:rPr>
        <w:t xml:space="preserve"> assets, equity, cash on assets, debt, retained earnings, risk-adjusted income, yield, </w:t>
      </w:r>
      <w:r>
        <w:rPr>
          <w:szCs w:val="24"/>
        </w:rPr>
        <w:t xml:space="preserve">and </w:t>
      </w:r>
      <w:r w:rsidRPr="00FE6EED">
        <w:rPr>
          <w:szCs w:val="24"/>
        </w:rPr>
        <w:t>investment capital, assesses a company's capacity to produce returns for its shareholders.</w:t>
      </w:r>
    </w:p>
    <w:p w14:paraId="7198FC10" w14:textId="77777777" w:rsidR="00F21A70" w:rsidRPr="00C17CEE" w:rsidRDefault="00F21A70" w:rsidP="00F21A70">
      <w:r w:rsidRPr="00383EEC">
        <w:rPr>
          <w:szCs w:val="24"/>
        </w:rPr>
        <w:t>The margin ratios, which show how well the company is doing at converting sales into profits, are the profitability measurements that are most frequently utilized. When it comes to simplicity, calculating gross profit as a percentage of net sales makes it the simplest to evaluate gross profit margin ratio. The ROA reveals the efficiency with which a company's assets are managed. If the size and structure of the assets are adjusted to the unique nature of the business's activities, a high return on t</w:t>
      </w:r>
      <w:r>
        <w:rPr>
          <w:szCs w:val="24"/>
        </w:rPr>
        <w:t>otal assets can be reached</w:t>
      </w:r>
      <w:r w:rsidRPr="00383EEC">
        <w:rPr>
          <w:szCs w:val="24"/>
        </w:rPr>
        <w:t xml:space="preserve"> </w:t>
      </w:r>
      <w:r>
        <w:rPr>
          <w:szCs w:val="24"/>
        </w:rPr>
        <w:fldChar w:fldCharType="begin"/>
      </w:r>
      <w:r>
        <w:rPr>
          <w:szCs w:val="24"/>
        </w:rPr>
        <w:instrText xml:space="preserve"> ADDIN ZOTERO_ITEM CSL_CITATION {"citationID":"ZJccTIWx","properties":{"formattedCitation":"(Rutkowska-Ziarko, 2015)","plainCitation":"(Rutkowska-Ziarko, 2015)","noteIndex":0},"citationItems":[{"id":65,"uris":["http://zotero.org/users/local/gmijzRh7/items/F3SJKLM2"],"itemData":{"id":65,"type":"article-journal","abstract":"A study was conducted of 15 food companies listed on the Warsaw Stock Exchange. The profitability of companies was measured by: return on assets (ROA), return on equity (ROE) and return on sales (ROS). Investment risk was measured by standard deviation and semi-deviation. The main objective of the study was to examine whether the average level and variability of selected indicators of profitability are reflected in the average level and the variability of returns on the capital market. An additional aim was to examine whether the size of the company affects the profitability and risk of investment in stocks as well as the average value and the volatility of profitability ratios. A positive correlation between the average value of the profitability ratios (ROA and ROS) and the average rates of return on the capital market was identified. Similarly, companies with higher volatility and semi-volatility of profitability ratios were simultaneously characterized by larger fluctuations in rates of return on the stock market. Studies have shown that the size of the company is negatively correlated with the risk of stock market investments and the volatility of profitability ratios.","container-title":"Folia Oeconomica Stetinensia","DOI":"10.1515/foli-2015-0025","ISSN":"1898-0198","issue":"1","language":"en","page":"151-161","source":"DOI.org (Crossref)","title":"The Influence of Profitability Ratios and Company Size on Profitability and Investment Risk in the Capital Market","volume":"15","author":[{"family":"Rutkowska-Ziarko","given":"Anna"}],"issued":{"date-parts":[["2015",6,1]]}}}],"schema":"https://github.com/citation-style-language/schema/raw/master/csl-citation.json"} </w:instrText>
      </w:r>
      <w:r>
        <w:rPr>
          <w:szCs w:val="24"/>
        </w:rPr>
        <w:fldChar w:fldCharType="separate"/>
      </w:r>
      <w:r w:rsidRPr="00237886">
        <w:t>(</w:t>
      </w:r>
      <w:proofErr w:type="spellStart"/>
      <w:r w:rsidRPr="00237886">
        <w:t>Rutkowska-Ziarko</w:t>
      </w:r>
      <w:proofErr w:type="spellEnd"/>
      <w:r w:rsidRPr="00237886">
        <w:t>, 2015)</w:t>
      </w:r>
      <w:r>
        <w:rPr>
          <w:szCs w:val="24"/>
        </w:rPr>
        <w:fldChar w:fldCharType="end"/>
      </w:r>
      <w:r>
        <w:rPr>
          <w:szCs w:val="24"/>
        </w:rPr>
        <w:t>.</w:t>
      </w:r>
    </w:p>
    <w:p w14:paraId="150AF16B" w14:textId="77777777" w:rsidR="00F21A70" w:rsidRPr="00C17CEE" w:rsidRDefault="00F21A70" w:rsidP="00F21A70">
      <w:pPr>
        <w:rPr>
          <w:szCs w:val="24"/>
        </w:rPr>
      </w:pPr>
      <w:r>
        <w:rPr>
          <w:szCs w:val="24"/>
        </w:rPr>
        <w:t xml:space="preserve">According to </w:t>
      </w:r>
      <w:r>
        <w:rPr>
          <w:szCs w:val="24"/>
        </w:rPr>
        <w:fldChar w:fldCharType="begin"/>
      </w:r>
      <w:r>
        <w:rPr>
          <w:szCs w:val="24"/>
        </w:rPr>
        <w:instrText xml:space="preserve"> ADDIN ZOTERO_ITEM CSL_CITATION {"citationID":"VkPbVQxp","properties":{"formattedCitation":"(Supriyadi, 2021)","plainCitation":"(Supriyadi, 2021)","noteIndex":0},"citationItems":[{"id":67,"uris":["http://zotero.org/users/local/gmijzRh7/items/HZ22EJVH"],"itemData":{"id":67,"type":"article-journal","abstract":"The purpose of this study is to analyze the influence of Return On Assets (ROA), Return On Equity (ROE), and Net Profit Margin (NPM) on the Value of Companies In Manufacturing Companies Listed on the Indonesia Stock Exchange In 2016-2019 partially or simultaneously. This research was designed using associative quantitative methods. The samples in this study are manufacturing companies listed on the Indonesia Stock Exchange (IDX). The selected period is 2016 to 2019 using the purposive sampling method. The analysis technique in this study is multiple linear regression analysis. The analysis results proved that Return on Assets and Return on Equity positively affect the Company's Value. At the same time, Net Profit Margin does not positively affect the Company's Value. The analysis results also found that Return on Assets, Return on Equity, and Net Profit Margin simultaneously affect the Company's Value.","container-title":"International Journal of Economics, Business and Management Research","ISSN":"24567760","journalAbbreviation":"IJEBMR","language":"en","source":"DOI.org (Crossref)","title":"EFFECT OF RETURN ON ASSETS (ROA), RETURN ON EQUITY (ROE), AND NET PROFIT MARGIN (NPM) ON THE COMPANY'S VALUE IN MANUFACTURING COMPANIES LISTED ON THE EXCHANGE INDONESIA SECURITIES YEAR 2016-2019","author":[{"family":"Supriyadi","given":"Tommy"}],"issued":{"date-parts":[["2021"]]}}}],"schema":"https://github.com/citation-style-language/schema/raw/master/csl-citation.json"} </w:instrText>
      </w:r>
      <w:r>
        <w:rPr>
          <w:szCs w:val="24"/>
        </w:rPr>
        <w:fldChar w:fldCharType="separate"/>
      </w:r>
      <w:proofErr w:type="spellStart"/>
      <w:r w:rsidRPr="00EB56F3">
        <w:t>Supriyadi</w:t>
      </w:r>
      <w:proofErr w:type="spellEnd"/>
      <w:r>
        <w:t xml:space="preserve"> (</w:t>
      </w:r>
      <w:r w:rsidRPr="00EB56F3">
        <w:t>2021)</w:t>
      </w:r>
      <w:r>
        <w:rPr>
          <w:szCs w:val="24"/>
        </w:rPr>
        <w:fldChar w:fldCharType="end"/>
      </w:r>
      <w:r>
        <w:rPr>
          <w:szCs w:val="24"/>
        </w:rPr>
        <w:t>, a</w:t>
      </w:r>
      <w:r w:rsidRPr="00383EEC">
        <w:rPr>
          <w:szCs w:val="24"/>
        </w:rPr>
        <w:t xml:space="preserve">n asset's contribution to generating a net profit is indicated by the ROA ratio. </w:t>
      </w:r>
      <w:r w:rsidRPr="00A11DF4">
        <w:rPr>
          <w:szCs w:val="24"/>
        </w:rPr>
        <w:t xml:space="preserve">The ROA ratio should show how effectively and efficiently the company manages its assets. Figure </w:t>
      </w:r>
      <w:r>
        <w:rPr>
          <w:szCs w:val="24"/>
        </w:rPr>
        <w:t>2</w:t>
      </w:r>
      <w:r w:rsidRPr="00A11DF4">
        <w:rPr>
          <w:szCs w:val="24"/>
        </w:rPr>
        <w:t xml:space="preserve"> shows the ROA trends for Kenya, Uganda, and Tanzania from 2000 to 2020.</w:t>
      </w:r>
    </w:p>
    <w:p w14:paraId="5FDC563C" w14:textId="77777777" w:rsidR="00F21A70" w:rsidRDefault="00F21A70" w:rsidP="00F21A70">
      <w:pPr>
        <w:keepNext/>
        <w:adjustRightInd w:val="0"/>
        <w:spacing w:line="480" w:lineRule="auto"/>
      </w:pPr>
      <w:r>
        <w:rPr>
          <w:noProof/>
          <w:lang w:val="en-GB" w:eastAsia="en-GB"/>
        </w:rPr>
        <w:lastRenderedPageBreak/>
        <w:drawing>
          <wp:inline distT="0" distB="0" distL="0" distR="0" wp14:anchorId="685E107D" wp14:editId="7BAB779A">
            <wp:extent cx="5838825" cy="27432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E516C3" w14:textId="77777777" w:rsidR="00F21A70" w:rsidRPr="00C17CEE" w:rsidRDefault="00F21A70" w:rsidP="00F21A70">
      <w:pPr>
        <w:rPr>
          <w:b/>
          <w:bCs/>
        </w:rPr>
      </w:pPr>
      <w:bookmarkStart w:id="6" w:name="_Toc118668871"/>
      <w:r w:rsidRPr="00C17CEE">
        <w:rPr>
          <w:b/>
          <w:bCs/>
        </w:rPr>
        <w:t>Figure 2: Return on Assets in EAC 2000-2020</w:t>
      </w:r>
      <w:bookmarkEnd w:id="6"/>
    </w:p>
    <w:p w14:paraId="49A6FDF2" w14:textId="77777777" w:rsidR="00F21A70" w:rsidRPr="009D5FA3" w:rsidRDefault="00F21A70" w:rsidP="00F21A70">
      <w:r>
        <w:t>Source: Author’s Compilation (2022)</w:t>
      </w:r>
    </w:p>
    <w:p w14:paraId="26691537" w14:textId="599683FE" w:rsidR="00F21A70" w:rsidRPr="00CB74C3" w:rsidRDefault="00F21A70" w:rsidP="00F21A70">
      <w:r>
        <w:t>Figure 2 shows the commercial banks</w:t>
      </w:r>
      <w:r w:rsidR="00097BFD">
        <w:t>'</w:t>
      </w:r>
      <w:r>
        <w:t xml:space="preserve"> performance in EAC as measured using the ROA between 2000 and 2020. The trends show close clustering and a general declining trend of commercial banks in the three EAC member states. There are however notable epochs where the ROA increased between 20002 and 2007 and a general decline to date. Another notable thing is that between 2004 and 2009 when the exchange rates appreciated briefly, the ROA for Kenya and Uganda was also stable. From 2010 to date a period when exchange rates have depreciated the ROA has also been on a decline. A casual look at </w:t>
      </w:r>
      <w:r w:rsidR="00097BFD">
        <w:t>Figures</w:t>
      </w:r>
      <w:r>
        <w:t xml:space="preserve"> 1 and 2</w:t>
      </w:r>
      <w:r w:rsidR="00097BFD">
        <w:t>, therefore,</w:t>
      </w:r>
      <w:r>
        <w:t xml:space="preserve"> show</w:t>
      </w:r>
      <w:r w:rsidR="00097BFD">
        <w:t>s</w:t>
      </w:r>
      <w:r>
        <w:t xml:space="preserve"> a pattern that is a subject of the investigation.</w:t>
      </w:r>
    </w:p>
    <w:p w14:paraId="285FB2D4" w14:textId="77777777" w:rsidR="00F21A70" w:rsidRDefault="00F21A70" w:rsidP="00F21A70">
      <w:pPr>
        <w:rPr>
          <w:b/>
          <w:bCs/>
          <w:i/>
          <w:iCs/>
          <w:shd w:val="clear" w:color="auto" w:fill="FFFFFF"/>
        </w:rPr>
      </w:pPr>
      <w:r w:rsidRPr="0099121B">
        <w:rPr>
          <w:b/>
          <w:bCs/>
          <w:i/>
          <w:iCs/>
          <w:shd w:val="clear" w:color="auto" w:fill="FFFFFF"/>
        </w:rPr>
        <w:t>Problem Statement</w:t>
      </w:r>
    </w:p>
    <w:p w14:paraId="7A5C2C4E" w14:textId="0B9C7C58" w:rsidR="00F21A70" w:rsidRPr="00F9018F" w:rsidRDefault="00F21A70" w:rsidP="00F21A70">
      <w:r>
        <w:t>Banking institutions encounter risks associated with exchange rate fluctuations where huge exchange rate losses could lead to decreased banks’ profitability, liquidity</w:t>
      </w:r>
      <w:r w:rsidR="00097BFD">
        <w:t>,</w:t>
      </w:r>
      <w:r>
        <w:t xml:space="preserve"> and payoffs to investors including</w:t>
      </w:r>
      <w:r>
        <w:rPr>
          <w:spacing w:val="-5"/>
        </w:rPr>
        <w:t xml:space="preserve"> </w:t>
      </w:r>
      <w:r w:rsidR="00097BFD">
        <w:rPr>
          <w:spacing w:val="-5"/>
        </w:rPr>
        <w:t xml:space="preserve">the </w:t>
      </w:r>
      <w:r>
        <w:t>complete</w:t>
      </w:r>
      <w:r>
        <w:rPr>
          <w:spacing w:val="-6"/>
        </w:rPr>
        <w:t xml:space="preserve"> </w:t>
      </w:r>
      <w:r>
        <w:t>collapse</w:t>
      </w:r>
      <w:r>
        <w:rPr>
          <w:spacing w:val="-8"/>
        </w:rPr>
        <w:t xml:space="preserve"> </w:t>
      </w:r>
      <w:r>
        <w:t>of</w:t>
      </w:r>
      <w:r>
        <w:rPr>
          <w:spacing w:val="-6"/>
        </w:rPr>
        <w:t xml:space="preserve"> </w:t>
      </w:r>
      <w:r>
        <w:t>banks.</w:t>
      </w:r>
      <w:r>
        <w:rPr>
          <w:spacing w:val="-8"/>
        </w:rPr>
        <w:t xml:space="preserve"> </w:t>
      </w:r>
      <w:r>
        <w:t>Generally</w:t>
      </w:r>
      <w:r w:rsidR="00097BFD">
        <w:t>,</w:t>
      </w:r>
      <w:r>
        <w:rPr>
          <w:spacing w:val="-1"/>
        </w:rPr>
        <w:t xml:space="preserve"> </w:t>
      </w:r>
      <w:r>
        <w:t>foreign</w:t>
      </w:r>
      <w:r>
        <w:rPr>
          <w:spacing w:val="-8"/>
        </w:rPr>
        <w:t xml:space="preserve"> </w:t>
      </w:r>
      <w:r>
        <w:t>exchange</w:t>
      </w:r>
      <w:r>
        <w:rPr>
          <w:spacing w:val="-3"/>
        </w:rPr>
        <w:t xml:space="preserve"> </w:t>
      </w:r>
      <w:r>
        <w:t>rate</w:t>
      </w:r>
      <w:r>
        <w:rPr>
          <w:spacing w:val="-11"/>
        </w:rPr>
        <w:t xml:space="preserve"> </w:t>
      </w:r>
      <w:r>
        <w:t>volatility</w:t>
      </w:r>
      <w:r>
        <w:rPr>
          <w:spacing w:val="3"/>
        </w:rPr>
        <w:t xml:space="preserve"> </w:t>
      </w:r>
      <w:r>
        <w:t>has</w:t>
      </w:r>
      <w:r>
        <w:rPr>
          <w:spacing w:val="-11"/>
        </w:rPr>
        <w:t xml:space="preserve"> </w:t>
      </w:r>
      <w:r w:rsidR="00097BFD">
        <w:rPr>
          <w:spacing w:val="-11"/>
        </w:rPr>
        <w:t xml:space="preserve">a </w:t>
      </w:r>
      <w:r>
        <w:t xml:space="preserve">negative </w:t>
      </w:r>
      <w:r w:rsidR="00097BFD">
        <w:t>e</w:t>
      </w:r>
      <w:r>
        <w:t xml:space="preserve">ffect on commercial banks’ performance and the economy at large </w:t>
      </w:r>
      <w:r w:rsidRPr="00F9018F">
        <w:fldChar w:fldCharType="begin"/>
      </w:r>
      <w:r w:rsidRPr="00F9018F">
        <w:instrText xml:space="preserve"> ADDIN ZOTERO_ITEM CSL_CITATION {"citationID":"a1rtr6poapl","properties":{"formattedCitation":"\\uldash{(Kairu &amp; Nairobi, 2016)}","plainCitation":"(Kairu &amp; Nairobi, 2016)","noteIndex":0},"citationItems":[{"id":74,"uris":["http://zotero.org/users/local/gmijzRh7/items/GXAQEZ9A"],"itemData":{"id":74,"type":"article-journal","language":"en","page":"55","source":"Zotero","title":"Effects Of The Exchange Rate Volatility On The Financial Performance Of Commercial Banks In Kenya","author":[{"family":"Kairu","given":"Eric Kiama"},{"family":"Nairobi","given":"University Of"}],"issued":{"date-parts":[["2016"]]}}}],"schema":"https://github.com/citation-style-language/schema/raw/master/csl-citation.json"} </w:instrText>
      </w:r>
      <w:r w:rsidRPr="00F9018F">
        <w:fldChar w:fldCharType="separate"/>
      </w:r>
      <w:r w:rsidRPr="00F9018F">
        <w:t>(Kairu, 2016)</w:t>
      </w:r>
      <w:r w:rsidRPr="00F9018F">
        <w:fldChar w:fldCharType="end"/>
      </w:r>
      <w:r w:rsidRPr="00F9018F">
        <w:t xml:space="preserve">. </w:t>
      </w:r>
    </w:p>
    <w:p w14:paraId="3D1C9C81" w14:textId="502C6D0D" w:rsidR="00F21A70" w:rsidRDefault="00F21A70" w:rsidP="0061520D">
      <w:r>
        <w:t>Other</w:t>
      </w:r>
      <w:r>
        <w:rPr>
          <w:spacing w:val="-6"/>
        </w:rPr>
        <w:t xml:space="preserve"> </w:t>
      </w:r>
      <w:r>
        <w:t>than</w:t>
      </w:r>
      <w:r>
        <w:rPr>
          <w:spacing w:val="-10"/>
        </w:rPr>
        <w:t xml:space="preserve"> </w:t>
      </w:r>
      <w:r>
        <w:t>the</w:t>
      </w:r>
      <w:r>
        <w:rPr>
          <w:spacing w:val="-16"/>
        </w:rPr>
        <w:t xml:space="preserve"> </w:t>
      </w:r>
      <w:r>
        <w:t>years 2004 to 2006 the exchange rates of EAC member states generally depreciated and commercial banks’ profits</w:t>
      </w:r>
      <w:r>
        <w:rPr>
          <w:spacing w:val="-23"/>
        </w:rPr>
        <w:t xml:space="preserve"> </w:t>
      </w:r>
      <w:r>
        <w:t xml:space="preserve">equally declined as measured by ROA. </w:t>
      </w:r>
      <w:r w:rsidR="00097BFD">
        <w:t>In t</w:t>
      </w:r>
      <w:r>
        <w:t>he years that the exchange rates depreciated, commercial</w:t>
      </w:r>
      <w:r>
        <w:rPr>
          <w:spacing w:val="-5"/>
        </w:rPr>
        <w:t xml:space="preserve"> </w:t>
      </w:r>
      <w:r>
        <w:t>banks</w:t>
      </w:r>
      <w:r>
        <w:rPr>
          <w:spacing w:val="-16"/>
        </w:rPr>
        <w:t xml:space="preserve"> generally </w:t>
      </w:r>
      <w:r>
        <w:t>recorded</w:t>
      </w:r>
      <w:r>
        <w:rPr>
          <w:spacing w:val="-17"/>
        </w:rPr>
        <w:t xml:space="preserve"> </w:t>
      </w:r>
      <w:r>
        <w:t>declined</w:t>
      </w:r>
      <w:r>
        <w:rPr>
          <w:spacing w:val="-10"/>
        </w:rPr>
        <w:t xml:space="preserve"> </w:t>
      </w:r>
      <w:r>
        <w:t>profits as shown in figure 2</w:t>
      </w:r>
      <w:r w:rsidRPr="00F9018F">
        <w:t xml:space="preserve">. </w:t>
      </w:r>
      <w:r w:rsidRPr="00F9018F">
        <w:fldChar w:fldCharType="begin"/>
      </w:r>
      <w:r w:rsidRPr="00F9018F">
        <w:instrText xml:space="preserve"> ADDIN ZOTERO_ITEM CSL_CITATION {"citationID":"a1celfkpsrm","properties":{"formattedCitation":"\\uldash{(Epaphra &amp; Kazungu, 2021)}","plainCitation":"(Epaphra &amp; Kazungu, 2021)","noteIndex":0},"citationItems":[{"id":173,"uris":["http://zotero.org/users/local/gmijzRh7/items/4VLAFEAP"],"itemData":{"id":173,"type":"article-journal","abstract":"This paper examines market efficiency in the foreign exchange market in Tanzania. A nonlinear Markov switching model was used to analyse the Tanzanian shilling against the US dollar spanning from 2 January 2009 to 30 April 2020. The estimation period was 2 January 2009–28 May 2019, and the post‐sample forecast period was 28 May 2019–30 April 2020. From the results of the two‐state Markov switching model, we define State 1, which is more volatile, as the inefficient state and State 2, which is less volatile, as the efficient one. In the unconditional probabilities from the Markov switching model, the exchange rate has a 94% probability in the inefficient state, which indicates that 94% of all speculators fully extract information when predicting future exchange rates, while 30% of all investors do not; suggesting that the foreign exchange market undergoes conditions of efficiency and inefficiency. In addition, findings showed that the exchange rate is expected to spend approximately 18 days in regime 1 and 8 days in regime 2. The policy implication of these findings is that foreign exchange market participants should pay attention to regimes and underlying market conditions when designing and applying their investment strategies.","container-title":"African Development Review","DOI":"10.1111/1467-8268.12538","ISSN":"1017-6772, 1467-8268","issue":"2","journalAbbreviation":"Afr Dev Rev","language":"en","page":"368-381","source":"DOI.org (Crossref)","title":"Efficiency of Tanzania's foreign exchange market","volume":"33","author":[{"family":"Epaphra","given":"Manamba"},{"family":"Kazungu","given":"Khatibu"}],"issued":{"date-parts":[["2021",6]]}}}],"schema":"https://github.com/citation-style-language/schema/raw/master/csl-citation.json"} </w:instrText>
      </w:r>
      <w:r w:rsidRPr="00F9018F">
        <w:fldChar w:fldCharType="separate"/>
      </w:r>
      <w:r w:rsidRPr="00F9018F">
        <w:t xml:space="preserve">Epaphra </w:t>
      </w:r>
      <w:r w:rsidR="0061520D">
        <w:t>and</w:t>
      </w:r>
      <w:r w:rsidRPr="00F9018F">
        <w:t xml:space="preserve"> </w:t>
      </w:r>
      <w:proofErr w:type="spellStart"/>
      <w:r w:rsidRPr="00F9018F">
        <w:t>Kazungu</w:t>
      </w:r>
      <w:proofErr w:type="spellEnd"/>
      <w:r w:rsidR="0061520D">
        <w:t xml:space="preserve"> (</w:t>
      </w:r>
      <w:r w:rsidRPr="00F9018F">
        <w:t>2021)</w:t>
      </w:r>
      <w:r w:rsidRPr="00F9018F">
        <w:fldChar w:fldCharType="end"/>
      </w:r>
      <w:r w:rsidRPr="00F9018F">
        <w:t xml:space="preserve"> claims</w:t>
      </w:r>
      <w:r w:rsidRPr="00383EEC">
        <w:rPr>
          <w:spacing w:val="2"/>
          <w:szCs w:val="24"/>
          <w:shd w:val="clear" w:color="auto" w:fill="FFFFFF"/>
        </w:rPr>
        <w:t xml:space="preserve"> that volatility happens in clusters, citing the propensity for significant foreign exchange fluctuations (of either sign) to occur after significant adjustments and vice versa.</w:t>
      </w:r>
      <w:r>
        <w:rPr>
          <w:spacing w:val="2"/>
          <w:szCs w:val="24"/>
          <w:shd w:val="clear" w:color="auto" w:fill="FFFFFF"/>
        </w:rPr>
        <w:t xml:space="preserve"> </w:t>
      </w:r>
      <w:r>
        <w:t>Figure 1 exhibits such a trend which literature shows</w:t>
      </w:r>
      <w:r>
        <w:rPr>
          <w:spacing w:val="2"/>
          <w:szCs w:val="24"/>
          <w:shd w:val="clear" w:color="auto" w:fill="FFFFFF"/>
        </w:rPr>
        <w:t xml:space="preserve"> </w:t>
      </w:r>
      <w:r w:rsidR="00097BFD">
        <w:rPr>
          <w:spacing w:val="2"/>
          <w:szCs w:val="24"/>
          <w:shd w:val="clear" w:color="auto" w:fill="FFFFFF"/>
        </w:rPr>
        <w:t xml:space="preserve">is </w:t>
      </w:r>
      <w:r>
        <w:rPr>
          <w:spacing w:val="2"/>
          <w:szCs w:val="24"/>
          <w:shd w:val="clear" w:color="auto" w:fill="FFFFFF"/>
        </w:rPr>
        <w:t>most likely associated with volatility.</w:t>
      </w:r>
    </w:p>
    <w:p w14:paraId="0DACD78F" w14:textId="0B5A92E0" w:rsidR="00F21A70" w:rsidRDefault="00F21A70" w:rsidP="00F21A70">
      <w:r w:rsidRPr="00383EEC">
        <w:t xml:space="preserve">Numerous studies on the performance of commercial banks have been conducted, with ambiguous </w:t>
      </w:r>
      <w:r w:rsidRPr="00F9018F">
        <w:t xml:space="preserve">findings. </w:t>
      </w:r>
      <w:r w:rsidRPr="00F9018F">
        <w:fldChar w:fldCharType="begin"/>
      </w:r>
      <w:r w:rsidRPr="00F9018F">
        <w:instrText xml:space="preserve"> ADDIN ZOTERO_ITEM CSL_CITATION {"citationID":"a1j6qaol415","properties":{"formattedCitation":"\\uldash{(Kairu &amp; Nairobi, 2016)}","plainCitation":"(Kairu &amp; Nairobi, 2016)","noteIndex":0},"citationItems":[{"id":74,"uris":["http://zotero.org/users/local/gmijzRh7/items/GXAQEZ9A"],"itemData":{"id":74,"type":"article-journal","language":"en","page":"55","source":"Zotero","title":"Effects Of The Exchange Rate Volatility On The Financial Performance Of Commercial Banks In Kenya","author":[{"family":"Kairu","given":"Eric Kiama"},{"family":"Nairobi","given":"University Of"}],"issued":{"date-parts":[["2016"]]}}}],"schema":"https://github.com/citation-style-language/schema/raw/master/csl-citation.json"} </w:instrText>
      </w:r>
      <w:r w:rsidRPr="00F9018F">
        <w:fldChar w:fldCharType="separate"/>
      </w:r>
      <w:r w:rsidRPr="00F9018F">
        <w:t>Kairu</w:t>
      </w:r>
      <w:r w:rsidR="0061520D">
        <w:t xml:space="preserve"> (</w:t>
      </w:r>
      <w:r w:rsidRPr="00F9018F">
        <w:t>2016)</w:t>
      </w:r>
      <w:r w:rsidRPr="00F9018F">
        <w:fldChar w:fldCharType="end"/>
      </w:r>
      <w:r w:rsidRPr="00F9018F">
        <w:t xml:space="preserve"> found a weak effect while </w:t>
      </w:r>
      <w:r w:rsidRPr="00F9018F">
        <w:fldChar w:fldCharType="begin"/>
      </w:r>
      <w:r w:rsidRPr="00F9018F">
        <w:instrText xml:space="preserve"> ADDIN ZOTERO_ITEM CSL_CITATION {"citationID":"a10pp1f6qq9","properties":{"formattedCitation":"\\uldash{(Keshtgar et al., 2020)}","plainCitation":"(Keshtgar et al., 2020)","noteIndex":0},"citationItems":[{"id":153,"uris":["http://zotero.org/users/local/gmijzRh7/items/KFK3C4UX"],"itemData":{"id":153,"type":"article-journal","abstract":"Banks play an important role in the Iranian economy which has a bank-based financial system. We examined the impact of exchange rate volatility as a determinant of banks' performance. In recent years, the exchange rate has been volatile in the Iranian economy and have an adverse effect on banks' performance. This study, investigate the issue for the period 2007-2017 for 14 Iranian banks. Exchange rate fluctuations are derived by GARCH method and the effect of its fluctuations on bank performance examined using panel data method. In order to evaluate banks' performance, we used two criteria, namely liquidity and profitability. Estimation of econometric model using panel data by random effects indicated that exchange rate volatility has a negative and statistically significant effect on banks' capital return ratio. Exchange rate volatility is also a determinant in increasing the ratio of lending to total bank deposits, as it increases the financial gap and creates the credit risk that the gap entails.","container-title":"International Journal of Business and Development Studies","DOI":"10.22111/ijbds.2020.5436","issue":"1","journalAbbreviation":"IJBDS","language":"en","source":"DOI.org (CSL JSON)","title":"The Impact of Exchange Rate volatility on Banking Performance case of Iran)","URL":"https://doi.org/10.22111/ijbds.2020.5436","volume":"12","author":[{"family":"Keshtgar","given":"Nafiseh"},{"family":"Pahlavani","given":"Mosayeb"},{"family":"Mirjalili","given":"Seyed Hossein"}],"accessed":{"date-parts":[["2022",11,5]]},"issued":{"date-parts":[["2020",6]]}}}],"schema":"https://github.com/citation-style-language/schema/raw/master/csl-citation.json"} </w:instrText>
      </w:r>
      <w:r w:rsidRPr="00F9018F">
        <w:fldChar w:fldCharType="separate"/>
      </w:r>
      <w:proofErr w:type="spellStart"/>
      <w:r w:rsidRPr="00F9018F">
        <w:t>Keshtgar</w:t>
      </w:r>
      <w:proofErr w:type="spellEnd"/>
      <w:r w:rsidRPr="00F9018F">
        <w:t xml:space="preserve"> et al.</w:t>
      </w:r>
      <w:r w:rsidR="0061520D">
        <w:t xml:space="preserve"> (</w:t>
      </w:r>
      <w:r w:rsidRPr="00F9018F">
        <w:t>2020)</w:t>
      </w:r>
      <w:r w:rsidRPr="00F9018F">
        <w:fldChar w:fldCharType="end"/>
      </w:r>
      <w:r w:rsidRPr="00F9018F">
        <w:t xml:space="preserve"> found a negative effect. In addition</w:t>
      </w:r>
      <w:r w:rsidR="0061520D">
        <w:t>,</w:t>
      </w:r>
      <w:r w:rsidRPr="00F9018F">
        <w:t xml:space="preserve"> </w:t>
      </w:r>
      <w:r w:rsidRPr="00F9018F">
        <w:fldChar w:fldCharType="begin"/>
      </w:r>
      <w:r w:rsidRPr="00F9018F">
        <w:instrText xml:space="preserve"> ADDIN ZOTERO_ITEM CSL_CITATION {"citationID":"a1ht6bgpctn","properties":{"formattedCitation":"\\uldash{(Kemisola et al., 2016)}","plainCitation":"(Kemisola et al., 2016)","noteIndex":0},"citationItems":[{"id":151,"uris":["http://zotero.org/users/local/gmijzRh7/items/UBM6M6ZA"],"itemData":{"id":151,"type":"article-journal","abstract":"This study empirically examined the effect of exchange rate fluctuation on banks performance in Nigeria covering the period of ten years between 2005 and 2014. We measured exchange rate fluctuation by return average annual values of US dollar to Naira for the ten-year period. We tested our exchange rate for volatility (ARCH LM test) proving its fluctuating nature. Hausman Test was conducted for fixed and random effect preferred option. We found that exchange rates fluctuation had an insignificant effect on banks profitability using ROA as a measure while exchange rates fluctuation had a significant negative effect on banks liquidity using LDR as a measure. Therefore, we concluded that the effect of exchange rates fluctuation on banks performance is subjective on the specific measure of performance used in the research. However, our results suggest that further depreciation in the value of naira will lead to a fall in the liquidity position of the banks. As such we recommend that adequate care must be taken in establishing policies within the bank to hedge against foreign exchange risk. Furthermore, the banking sector is a vital part of the Nigerian economy and has contributed immensely to the overall GDP; we therefore suggest that the monetary authorities of Nigeria should re-assess its trade policies to incorporate strategies (high import duties, Pioneer Status, Preservation of the value of the domestic currency, maintenance of favourable external reserves position and ensuring external balance without compromising the need for internal balance) with the sole aim of enhancing naira value.","language":"en","page":"11","source":"Zotero","title":"Exchange Rate Volatility and Banks Performance: Evidence from Nigeria","volume":"2","author":[{"family":"Kemisola","given":"C"},{"family":"Ademola","given":"Osundina J"},{"family":"Olamide","given":"Jayeoba O"},{"family":"Moses","given":"Olayinka I"}],"issued":{"date-parts":[["2016"]]}}}],"schema":"https://github.com/citation-style-language/schema/raw/master/csl-citation.json"} </w:instrText>
      </w:r>
      <w:r w:rsidRPr="00F9018F">
        <w:fldChar w:fldCharType="separate"/>
      </w:r>
      <w:proofErr w:type="spellStart"/>
      <w:r w:rsidRPr="00F9018F">
        <w:t>Kemisola</w:t>
      </w:r>
      <w:proofErr w:type="spellEnd"/>
      <w:r w:rsidRPr="00F9018F">
        <w:t xml:space="preserve"> et al.</w:t>
      </w:r>
      <w:r w:rsidR="0061520D">
        <w:t xml:space="preserve"> (</w:t>
      </w:r>
      <w:r w:rsidRPr="00F9018F">
        <w:t>2016)</w:t>
      </w:r>
      <w:r w:rsidRPr="00F9018F">
        <w:fldChar w:fldCharType="end"/>
      </w:r>
      <w:r w:rsidRPr="00F9018F">
        <w:t xml:space="preserve"> found that there are insignificant effects associated with exchange rate volatility. Majority of these enquiries also did not use volatility as a variable of consideration. These studies include </w:t>
      </w:r>
      <w:r w:rsidRPr="00F9018F">
        <w:fldChar w:fldCharType="begin"/>
      </w:r>
      <w:r w:rsidRPr="00F9018F">
        <w:instrText xml:space="preserve"> ADDIN ZOTERO_ITEM CSL_CITATION {"citationID":"am8q1076tf","properties":{"formattedCitation":"\\uldash{(Frederick, 2015)}","plainCitation":"(Frederick, 2015)","noteIndex":0},"citationItems":[{"id":178,"uris":["http://zotero.org/users/local/gmijzRh7/items/RIR3IA99"],"itemData":{"id":178,"type":"article-journal","container-title":"International Review of Business Research Papers","DOI":"10.21102/irbrp.2015.03.111.07","ISSN":"18375685, 18329543","issue":"1","journalAbbreviation":"IRBRP","language":"en","page":"95-113","source":"DOI.org (Crossref)","title":"Factors Affecting Performance of Commercial Banks in Uganda -A Case for Domestic Commercial Banks","volume":"11","author":[{"family":"Frederick","given":"Nsambu"}],"issued":{"date-parts":[["2015",3]]}}}],"schema":"https://github.com/citation-style-language/schema/raw/master/csl-citation.json"} </w:instrText>
      </w:r>
      <w:r w:rsidRPr="00F9018F">
        <w:fldChar w:fldCharType="separate"/>
      </w:r>
      <w:r w:rsidRPr="00F9018F">
        <w:t>Frederick</w:t>
      </w:r>
      <w:r w:rsidR="0061520D">
        <w:t xml:space="preserve"> (</w:t>
      </w:r>
      <w:r w:rsidRPr="00F9018F">
        <w:t>2015</w:t>
      </w:r>
      <w:r w:rsidR="0061520D">
        <w:t>),</w:t>
      </w:r>
      <w:r w:rsidRPr="00F9018F">
        <w:fldChar w:fldCharType="end"/>
      </w:r>
      <w:r w:rsidRPr="00F9018F">
        <w:t xml:space="preserve"> </w:t>
      </w:r>
      <w:r w:rsidRPr="00F9018F">
        <w:fldChar w:fldCharType="begin"/>
      </w:r>
      <w:r w:rsidRPr="00F9018F">
        <w:instrText xml:space="preserve"> ADDIN ZOTERO_ITEM CSL_CITATION {"citationID":"akkdkm9345","properties":{"formattedCitation":"\\uldash{(Hafidh, 2020)}","plainCitation":"(Hafidh, 2020)","noteIndex":0},"citationItems":[{"id":180,"uris":["http://zotero.org/users/local/gmijzRh7/items/TABJYQHZ"],"itemData":{"id":180,"type":"article-journal","language":"en","page":"79","source":"Zotero","title":"EFFECTS OF EXCHANGE RATE VARIATION ON FINANCIAL PERFORMANCE OF COMMERCIAL BANKS IN TANZANIA","author":[{"family":"Hafidh","given":"Sharifa Omar"}],"issued":{"date-parts":[["2020"]]}}}],"schema":"https://github.com/citation-style-language/schema/raw/master/csl-citation.json"} </w:instrText>
      </w:r>
      <w:r w:rsidRPr="00F9018F">
        <w:fldChar w:fldCharType="separate"/>
      </w:r>
      <w:proofErr w:type="spellStart"/>
      <w:r w:rsidRPr="00F9018F">
        <w:t>Hafidh</w:t>
      </w:r>
      <w:proofErr w:type="spellEnd"/>
      <w:r w:rsidR="0061520D">
        <w:t xml:space="preserve"> (</w:t>
      </w:r>
      <w:r w:rsidRPr="00F9018F">
        <w:t>2020</w:t>
      </w:r>
      <w:r w:rsidRPr="00F9018F">
        <w:fldChar w:fldCharType="end"/>
      </w:r>
      <w:r w:rsidR="0061520D">
        <w:t>),</w:t>
      </w:r>
      <w:r w:rsidRPr="00F9018F">
        <w:t xml:space="preserve"> and </w:t>
      </w:r>
      <w:r w:rsidRPr="00F9018F">
        <w:fldChar w:fldCharType="begin"/>
      </w:r>
      <w:r w:rsidRPr="00F9018F">
        <w:instrText xml:space="preserve"> ADDIN ZOTERO_ITEM CSL_CITATION {"citationID":"a9cdmf98od","properties":{"formattedCitation":"\\uldash{(Lotto, 2019)}","plainCitation":"(Lotto, 2019)","noteIndex":0},"citationItems":[{"id":182,"uris":["http://zotero.org/users/local/gmijzRh7/items/8D3XHPAX"],"itemData":{"id":182,"type":"article-journal","container-title":"Cogent Economics &amp; Finance","DOI":"10.1080/23322039.2019.1664192","ISSN":"2332-2039","issue":"1","journalAbbreviation":"Cogent Economics &amp; Finance","language":"en","page":"1664192","source":"DOI.org (Crossref)","title":"Evaluation of factors influencing bank operating efficiency in Tanzanian banking sector","volume":"7","author":[{"family":"Lotto","given":"Josephat"}],"editor":[{"family":"Papavassiliou","given":"Vassilios"}],"issued":{"date-parts":[["2019",1,1]]}}}],"schema":"https://github.com/citation-style-language/schema/raw/master/csl-citation.json"} </w:instrText>
      </w:r>
      <w:r w:rsidRPr="00F9018F">
        <w:fldChar w:fldCharType="separate"/>
      </w:r>
      <w:r w:rsidRPr="00F9018F">
        <w:t>Lotto</w:t>
      </w:r>
      <w:r w:rsidR="0061520D">
        <w:t xml:space="preserve"> (</w:t>
      </w:r>
      <w:r w:rsidRPr="00F9018F">
        <w:t>2019)</w:t>
      </w:r>
      <w:r w:rsidRPr="00F9018F">
        <w:fldChar w:fldCharType="end"/>
      </w:r>
      <w:r w:rsidRPr="00F9018F">
        <w:t xml:space="preserve">. Majority of these studies also used time series data. This study deviates from these </w:t>
      </w:r>
      <w:r w:rsidRPr="00F9018F">
        <w:lastRenderedPageBreak/>
        <w:t>country</w:t>
      </w:r>
      <w:r w:rsidR="00097BFD">
        <w:t>-</w:t>
      </w:r>
      <w:r w:rsidRPr="00F9018F">
        <w:t>specific studies by considering a group of countries which shares similar characteristics such as the main exchange rate</w:t>
      </w:r>
      <w:r>
        <w:t xml:space="preserve"> in terms of the dollar. Most importantly, the study considers exchange volatility risk as an important determinant of commercial banks profitability and adopts panel data.</w:t>
      </w:r>
      <w:bookmarkStart w:id="7" w:name="_Toc119534050"/>
    </w:p>
    <w:p w14:paraId="3AD6427F" w14:textId="77777777" w:rsidR="00F21A70" w:rsidRDefault="00F21A70" w:rsidP="00F21A70">
      <w:pPr>
        <w:rPr>
          <w:b/>
          <w:bCs/>
          <w:i/>
          <w:iCs/>
        </w:rPr>
      </w:pPr>
      <w:r w:rsidRPr="00F9018F">
        <w:rPr>
          <w:b/>
          <w:bCs/>
          <w:i/>
          <w:iCs/>
        </w:rPr>
        <w:t>Research</w:t>
      </w:r>
      <w:r w:rsidRPr="00F9018F">
        <w:rPr>
          <w:b/>
          <w:bCs/>
          <w:i/>
          <w:iCs/>
          <w:spacing w:val="9"/>
        </w:rPr>
        <w:t xml:space="preserve"> </w:t>
      </w:r>
      <w:r w:rsidRPr="00F9018F">
        <w:rPr>
          <w:b/>
          <w:bCs/>
          <w:i/>
          <w:iCs/>
        </w:rPr>
        <w:t>Objectives</w:t>
      </w:r>
      <w:bookmarkEnd w:id="7"/>
    </w:p>
    <w:p w14:paraId="48C1C8CB" w14:textId="77777777" w:rsidR="00F21A70" w:rsidRPr="00F9018F" w:rsidRDefault="00F21A70" w:rsidP="00F21A70">
      <w:pPr>
        <w:pStyle w:val="ListParagraph"/>
        <w:numPr>
          <w:ilvl w:val="0"/>
          <w:numId w:val="5"/>
        </w:numPr>
        <w:suppressAutoHyphens w:val="0"/>
        <w:spacing w:before="160" w:after="160"/>
        <w:contextualSpacing/>
      </w:pPr>
      <w:r w:rsidRPr="00F9018F">
        <w:t>To estimate exchange rate volatility in EAC.</w:t>
      </w:r>
    </w:p>
    <w:p w14:paraId="4D40F899" w14:textId="77777777" w:rsidR="00F21A70" w:rsidRPr="00C17CEE" w:rsidRDefault="00F21A70" w:rsidP="00F21A70">
      <w:pPr>
        <w:pStyle w:val="ListParagraph"/>
        <w:numPr>
          <w:ilvl w:val="0"/>
          <w:numId w:val="5"/>
        </w:numPr>
        <w:suppressAutoHyphens w:val="0"/>
        <w:spacing w:before="160" w:after="160"/>
        <w:contextualSpacing/>
      </w:pPr>
      <w:r w:rsidRPr="00F9018F">
        <w:t>To ascertain how the performance of commercial banks in the EAC is affected by exchange rate volatility.</w:t>
      </w:r>
    </w:p>
    <w:p w14:paraId="508DF227" w14:textId="77777777" w:rsidR="00F21A70" w:rsidRPr="0099121B" w:rsidRDefault="00F21A70" w:rsidP="00F21A70">
      <w:pPr>
        <w:pStyle w:val="Heading2"/>
        <w:spacing w:after="160"/>
      </w:pPr>
      <w:r>
        <w:t xml:space="preserve">2.0 </w:t>
      </w:r>
      <w:r w:rsidRPr="0099121B">
        <w:t xml:space="preserve">Literature Review </w:t>
      </w:r>
    </w:p>
    <w:p w14:paraId="708FA392" w14:textId="77777777" w:rsidR="00F21A70" w:rsidRDefault="00F21A70" w:rsidP="00F21A70">
      <w:pPr>
        <w:rPr>
          <w:b/>
          <w:bCs/>
          <w:i/>
          <w:iCs/>
        </w:rPr>
      </w:pPr>
      <w:r w:rsidRPr="0099121B">
        <w:rPr>
          <w:b/>
          <w:bCs/>
          <w:i/>
          <w:iCs/>
        </w:rPr>
        <w:t xml:space="preserve">Theoretical Review </w:t>
      </w:r>
    </w:p>
    <w:p w14:paraId="2D43F893" w14:textId="77777777" w:rsidR="0061520D" w:rsidRDefault="00F21A70" w:rsidP="0061520D">
      <w:r w:rsidRPr="00517A64">
        <w:t>Marshall (1890) developed</w:t>
      </w:r>
      <w:bookmarkStart w:id="8" w:name="_Toc119534057"/>
      <w:r w:rsidRPr="00C17CEE">
        <w:t xml:space="preserve"> </w:t>
      </w:r>
      <w:r>
        <w:t xml:space="preserve">the </w:t>
      </w:r>
      <w:r w:rsidRPr="001C521D">
        <w:t>Profit Maximization</w:t>
      </w:r>
      <w:r w:rsidRPr="001C521D">
        <w:rPr>
          <w:spacing w:val="27"/>
        </w:rPr>
        <w:t xml:space="preserve"> </w:t>
      </w:r>
      <w:r w:rsidRPr="001C521D">
        <w:t>Theory</w:t>
      </w:r>
      <w:bookmarkEnd w:id="8"/>
      <w:r w:rsidRPr="00517A64">
        <w:t xml:space="preserve">, which is based on the idea that </w:t>
      </w:r>
      <w:r w:rsidRPr="00C17CEE">
        <w:t xml:space="preserve">corporations' primary goal is to maximize profits. According to the theory, every business employee acts in ways that increase profits for himself or herself. The concept is most commonly used in economics, where businesses strive to maximize profits by balancing marginal income against marginal costs. According to Day et al. (2013), a company is successful when it makes significant profits and even more so when it uses its resources to create goods and services that can be offered to customers </w:t>
      </w:r>
      <w:r w:rsidR="00097BFD">
        <w:t>to make</w:t>
      </w:r>
      <w:r w:rsidRPr="00C17CEE">
        <w:t xml:space="preserve"> a profit. Marshall goes on to say that a company's ability to maximize profit determines whether it can survive. These days, many firms, particularly those in the financial industry, can employ this notion. One of the fundamental presumptions is that while offering services, banks want to maximize their revenues. Banks must conduct business in a way that optimizes profitability because shareholders want them to make a profit. As a result, their investment and income are maximized, and their costs are reduced (Wong, 2012). A bank's ability to influence pricing on the input and output markets, respectively, depends on its market power. With proper management, a company can maximize revenues </w:t>
      </w:r>
      <w:r w:rsidR="00097BFD">
        <w:t>through</w:t>
      </w:r>
      <w:r w:rsidRPr="00C17CEE">
        <w:t xml:space="preserve"> </w:t>
      </w:r>
      <w:r w:rsidR="00097BFD">
        <w:t xml:space="preserve">the </w:t>
      </w:r>
      <w:r w:rsidRPr="00C17CEE">
        <w:t>appropriate selection of inputs and outputs. Thus, profitability as one of the performance indicators is informed by this idea.</w:t>
      </w:r>
    </w:p>
    <w:p w14:paraId="2E094B7A" w14:textId="5F7F2F3C" w:rsidR="00F21A70" w:rsidRPr="00C17CEE" w:rsidRDefault="00F21A70" w:rsidP="0061520D">
      <w:r w:rsidRPr="00754E76">
        <w:t xml:space="preserve">Dornbusch created the sticky pricing monetary theory in 1976. The currency rate overshoots in the short </w:t>
      </w:r>
      <w:r w:rsidR="0061520D" w:rsidRPr="00754E76">
        <w:t>run</w:t>
      </w:r>
      <w:r w:rsidR="0061520D">
        <w:t>-in</w:t>
      </w:r>
      <w:r w:rsidRPr="00754E76">
        <w:t xml:space="preserve"> response to an expansionary monetary shock but eventually settles on its long-run equilibrium path. The model explains the </w:t>
      </w:r>
      <w:r>
        <w:t xml:space="preserve">tendency of the </w:t>
      </w:r>
      <w:r w:rsidRPr="00754E76">
        <w:t xml:space="preserve">exchange rate </w:t>
      </w:r>
      <w:r>
        <w:t>to be too volatile</w:t>
      </w:r>
      <w:r w:rsidRPr="00754E76">
        <w:t>. Th</w:t>
      </w:r>
      <w:r>
        <w:t>is theory</w:t>
      </w:r>
      <w:r w:rsidRPr="00754E76">
        <w:t xml:space="preserve"> is based on a flexible exchange rate </w:t>
      </w:r>
      <w:r>
        <w:t xml:space="preserve">regime in a </w:t>
      </w:r>
      <w:r w:rsidRPr="00754E76">
        <w:t xml:space="preserve">small </w:t>
      </w:r>
      <w:r>
        <w:t>country</w:t>
      </w:r>
      <w:r w:rsidRPr="00754E76">
        <w:t xml:space="preserve">, </w:t>
      </w:r>
      <w:r>
        <w:t xml:space="preserve">where the goods market is characterized by prices </w:t>
      </w:r>
      <w:r w:rsidR="00097BFD">
        <w:t>that</w:t>
      </w:r>
      <w:r>
        <w:t xml:space="preserve"> are inflexible</w:t>
      </w:r>
      <w:r w:rsidRPr="00754E76">
        <w:t xml:space="preserve"> </w:t>
      </w:r>
      <w:r>
        <w:t xml:space="preserve">in the </w:t>
      </w:r>
      <w:r w:rsidRPr="00754E76">
        <w:t>short</w:t>
      </w:r>
      <w:r w:rsidR="00097BFD">
        <w:t xml:space="preserve"> </w:t>
      </w:r>
      <w:r w:rsidRPr="00754E76">
        <w:t>term. Additionally, it depends on realistic expectations.</w:t>
      </w:r>
      <w:r>
        <w:t xml:space="preserve"> </w:t>
      </w:r>
      <w:r w:rsidRPr="00366004">
        <w:t>When monetary policy is altered, for as by raising interest rates, the financial and commodities markets respond to the new equilibrium. However, the financial market reaches equilibrium first because of the product market's price stability.</w:t>
      </w:r>
      <w:r>
        <w:t xml:space="preserve"> </w:t>
      </w:r>
      <w:r w:rsidRPr="00366004">
        <w:t xml:space="preserve">As a result, the exchange rate overshoots in the short run and generates excessive volatility when, </w:t>
      </w:r>
      <w:r>
        <w:t>eventually</w:t>
      </w:r>
      <w:r w:rsidRPr="00366004">
        <w:t xml:space="preserve">, </w:t>
      </w:r>
      <w:r>
        <w:t xml:space="preserve">the merchandise and service </w:t>
      </w:r>
      <w:r w:rsidRPr="00366004">
        <w:t xml:space="preserve">prices gradually adjust to </w:t>
      </w:r>
      <w:r>
        <w:t>a</w:t>
      </w:r>
      <w:r w:rsidRPr="00366004">
        <w:t xml:space="preserve"> new equilibrium.</w:t>
      </w:r>
    </w:p>
    <w:p w14:paraId="35A15BFE" w14:textId="77777777" w:rsidR="00F21A70" w:rsidRDefault="00F21A70" w:rsidP="00F21A70">
      <w:pPr>
        <w:rPr>
          <w:b/>
          <w:bCs/>
          <w:i/>
          <w:iCs/>
        </w:rPr>
      </w:pPr>
      <w:r>
        <w:rPr>
          <w:b/>
          <w:bCs/>
          <w:i/>
          <w:iCs/>
        </w:rPr>
        <w:t xml:space="preserve">Empirical Review </w:t>
      </w:r>
    </w:p>
    <w:p w14:paraId="0A52DC7E" w14:textId="355B93A6" w:rsidR="00F21A70" w:rsidRDefault="00F21A70" w:rsidP="00F21A70">
      <w:pPr>
        <w:rPr>
          <w:b/>
          <w:sz w:val="18"/>
        </w:rPr>
      </w:pPr>
      <w:r w:rsidRPr="00145079">
        <w:rPr>
          <w:color w:val="000000"/>
          <w:lang w:val="en-GB"/>
        </w:rPr>
        <w:t xml:space="preserve">While investigating </w:t>
      </w:r>
      <w:r>
        <w:rPr>
          <w:color w:val="000000"/>
          <w:lang w:val="en-GB"/>
        </w:rPr>
        <w:t>how exchange rate volatility a</w:t>
      </w:r>
      <w:r w:rsidRPr="00145079">
        <w:rPr>
          <w:color w:val="000000"/>
          <w:lang w:val="en-GB"/>
        </w:rPr>
        <w:t>ffect</w:t>
      </w:r>
      <w:r>
        <w:rPr>
          <w:color w:val="000000"/>
          <w:lang w:val="en-GB"/>
        </w:rPr>
        <w:t>s</w:t>
      </w:r>
      <w:r w:rsidRPr="009A7B99">
        <w:rPr>
          <w:color w:val="000000"/>
          <w:lang w:val="en-GB"/>
        </w:rPr>
        <w:t xml:space="preserve"> </w:t>
      </w:r>
      <w:r w:rsidRPr="00145079">
        <w:rPr>
          <w:color w:val="000000"/>
          <w:lang w:val="en-GB"/>
        </w:rPr>
        <w:t>commercial</w:t>
      </w:r>
      <w:r w:rsidRPr="009A7B99">
        <w:rPr>
          <w:color w:val="000000"/>
          <w:lang w:val="en-GB"/>
        </w:rPr>
        <w:t xml:space="preserve"> banks' p</w:t>
      </w:r>
      <w:r>
        <w:rPr>
          <w:color w:val="000000"/>
          <w:lang w:val="en-GB"/>
        </w:rPr>
        <w:t>rofitability</w:t>
      </w:r>
      <w:r w:rsidRPr="00145079">
        <w:rPr>
          <w:color w:val="000000"/>
          <w:lang w:val="en-GB"/>
        </w:rPr>
        <w:t xml:space="preserve"> in Iran</w:t>
      </w:r>
      <w:r w:rsidRPr="009A7B99">
        <w:rPr>
          <w:color w:val="000000"/>
          <w:lang w:val="en-GB"/>
        </w:rPr>
        <w:t xml:space="preserve"> </w:t>
      </w:r>
      <w:r w:rsidRPr="00F9018F">
        <w:fldChar w:fldCharType="begin"/>
      </w:r>
      <w:r w:rsidRPr="00F9018F">
        <w:instrText xml:space="preserve"> ADDIN ZOTERO_ITEM CSL_CITATION {"citationID":"a2gc314r4un","properties":{"formattedCitation":"\\uldash{(Keshtgar et al., 2020)}","plainCitation":"(Keshtgar et al., 2020)","noteIndex":0},"citationItems":[{"id":153,"uris":["http://zotero.org/users/local/gmijzRh7/items/KFK3C4UX"],"itemData":{"id":153,"type":"article-journal","abstract":"Banks play an important role in the Iranian economy which has a bank-based financial system. We examined the impact of exchange rate volatility as a determinant of banks' performance. In recent years, the exchange rate has been volatile in the Iranian economy and have an adverse effect on banks' performance. This study, investigate the issue for the period 2007-2017 for 14 Iranian banks. Exchange rate fluctuations are derived by GARCH method and the effect of its fluctuations on bank performance examined using panel data method. In order to evaluate banks' performance, we used two criteria, namely liquidity and profitability. Estimation of econometric model using panel data by random effects indicated that exchange rate volatility has a negative and statistically significant effect on banks' capital return ratio. Exchange rate volatility is also a determinant in increasing the ratio of lending to total bank deposits, as it increases the financial gap and creates the credit risk that the gap entails.","container-title":"International Journal of Business and Development Studies","DOI":"10.22111/ijbds.2020.5436","issue":"1","journalAbbreviation":"IJBDS","language":"en","source":"DOI.org (CSL JSON)","title":"The Impact of Exchange Rate volatility on Banking Performance case of Iran)","URL":"https://doi.org/10.22111/ijbds.2020.5436","volume":"12","author":[{"family":"Keshtgar","given":"Nafiseh"},{"family":"Pahlavani","given":"Mosayeb"},{"family":"Mirjalili","given":"Seyed Hossein"}],"accessed":{"date-parts":[["2022",11,5]]},"issued":{"date-parts":[["2020",6]]}}}],"schema":"https://github.com/citation-style-language/schema/raw/master/csl-citation.json"} </w:instrText>
      </w:r>
      <w:r w:rsidRPr="00F9018F">
        <w:fldChar w:fldCharType="separate"/>
      </w:r>
      <w:r w:rsidRPr="00F9018F">
        <w:t>(</w:t>
      </w:r>
      <w:proofErr w:type="spellStart"/>
      <w:r w:rsidRPr="00F9018F">
        <w:t>Keshtgar</w:t>
      </w:r>
      <w:proofErr w:type="spellEnd"/>
      <w:r w:rsidRPr="00F9018F">
        <w:t xml:space="preserve"> et al., 2020)</w:t>
      </w:r>
      <w:r w:rsidRPr="00F9018F">
        <w:fldChar w:fldCharType="end"/>
      </w:r>
      <w:r w:rsidRPr="00F9018F">
        <w:t xml:space="preserve"> studied</w:t>
      </w:r>
      <w:r w:rsidRPr="00145079">
        <w:t xml:space="preserve"> 14 Iranian banks between 2007-2017. </w:t>
      </w:r>
      <w:r w:rsidRPr="004D381C">
        <w:t xml:space="preserve">Models from the GARCH family were used to estimate the volatility of the exchange rate. An evaluation of the random effects supported the conclusion that exchange rate volatility has a detrimental and statistically significant impact on banks' capital return ratio. The GARCH family models, which this study employed as an improved way </w:t>
      </w:r>
      <w:r w:rsidR="00097BFD">
        <w:t>of</w:t>
      </w:r>
      <w:r w:rsidRPr="004D381C">
        <w:t xml:space="preserve"> assessing volatility, were prominently referenced in the current work.</w:t>
      </w:r>
    </w:p>
    <w:p w14:paraId="78846B38" w14:textId="77777777" w:rsidR="0061520D" w:rsidRDefault="00F21A70" w:rsidP="00F21A70">
      <w:r w:rsidRPr="00F9018F">
        <w:lastRenderedPageBreak/>
        <w:fldChar w:fldCharType="begin"/>
      </w:r>
      <w:r w:rsidRPr="00F9018F">
        <w:instrText xml:space="preserve"> ADDIN ZOTERO_ITEM CSL_CITATION {"citationID":"a2ennrmvd4g","properties":{"formattedCitation":"\\uldash{(Baba &amp; Ashogbon, 2019)}","plainCitation":"(Baba &amp; Ashogbon, 2019)","noteIndex":0},"citationItems":[{"id":155,"uris":["http://zotero.org/users/local/gmijzRh7/items/AXNBBCSM"],"itemData":{"id":155,"type":"article-journal","abstract":"Commercial banks play an important role in the operation of an economy since these banks serve as the financial intermediaries that channel funds from savers to borrowers for investment which is an important thing for a country’s economic growth and development. The analysis of the effect of inflation on financial performance of Commercial Banks in Nigeria is important. The aim of the study was to establish the effect of inflation on financial performance of Commercial Banks in Nigeria. The study specifically aimed to evaluate the effect of inflation on financial performance of commercial banks in Nigeria. An ordinary least square regression model was used. Inflation has insignificant relationship with financial performance.","issue":"2","language":"en","page":"10","source":"Zotero","title":"INFLATION AND FINANCIAL PERFORMANCE OF COMMERCIAL BANKS IN NIGERIA","volume":"7","author":[{"family":"Baba","given":"Sunday"},{"family":"Ashogbon","given":"Samuel Oyekan"}],"issued":{"date-parts":[["2019"]]}}}],"schema":"https://github.com/citation-style-language/schema/raw/master/csl-citation.json"} </w:instrText>
      </w:r>
      <w:r w:rsidRPr="00F9018F">
        <w:fldChar w:fldCharType="separate"/>
      </w:r>
      <w:r w:rsidRPr="00F9018F">
        <w:t xml:space="preserve">Baba and </w:t>
      </w:r>
      <w:proofErr w:type="spellStart"/>
      <w:r w:rsidRPr="00F9018F">
        <w:t>Ashogbon</w:t>
      </w:r>
      <w:proofErr w:type="spellEnd"/>
      <w:r w:rsidRPr="00F9018F">
        <w:t xml:space="preserve"> (2019)</w:t>
      </w:r>
      <w:r w:rsidRPr="00F9018F">
        <w:fldChar w:fldCharType="end"/>
      </w:r>
      <w:r>
        <w:t xml:space="preserve"> investigated how inflation affects Nigerian commercial banks</w:t>
      </w:r>
      <w:r w:rsidR="00097BFD">
        <w:t>'</w:t>
      </w:r>
      <w:r>
        <w:t xml:space="preserve"> performance. Panel data from 2006 to 2015 </w:t>
      </w:r>
      <w:r w:rsidR="00097BFD">
        <w:t xml:space="preserve">were </w:t>
      </w:r>
      <w:r>
        <w:t xml:space="preserve">used and analyzed through ANOVA. The findings were that the variable of interest was an insignificant determinant of return on equity. This study did not capture the risk factor associated with </w:t>
      </w:r>
      <w:r w:rsidR="00097BFD">
        <w:t xml:space="preserve">the </w:t>
      </w:r>
      <w:r>
        <w:t>exchange rate and that’s the improvement of this current study.</w:t>
      </w:r>
    </w:p>
    <w:p w14:paraId="13758B6A" w14:textId="3A556159" w:rsidR="00F21A70" w:rsidRDefault="00F21A70" w:rsidP="0061520D">
      <w:r w:rsidRPr="00F9018F">
        <w:fldChar w:fldCharType="begin"/>
      </w:r>
      <w:r w:rsidRPr="00F9018F">
        <w:instrText xml:space="preserve"> ADDIN ZOTERO_ITEM CSL_CITATION {"citationID":"am0cg2pbdv","properties":{"formattedCitation":"\\uldash{(Kairu &amp; Nairobi, 2016)}","plainCitation":"(Kairu &amp; Nairobi, 2016)","noteIndex":0},"citationItems":[{"id":74,"uris":["http://zotero.org/users/local/gmijzRh7/items/GXAQEZ9A"],"itemData":{"id":74,"type":"article-journal","language":"en","page":"55","source":"Zotero","title":"Effects Of The Exchange Rate Volatility On The Financial Performance Of Commercial Banks In Kenya","author":[{"family":"Kairu","given":"Eric Kiama"},{"family":"Nairobi","given":"University Of"}],"issued":{"date-parts":[["2016"]]}}}],"schema":"https://github.com/citation-style-language/schema/raw/master/csl-citation.json"} </w:instrText>
      </w:r>
      <w:r w:rsidRPr="00F9018F">
        <w:fldChar w:fldCharType="separate"/>
      </w:r>
      <w:r w:rsidRPr="00F9018F">
        <w:t>Kairu</w:t>
      </w:r>
      <w:r>
        <w:t xml:space="preserve"> (</w:t>
      </w:r>
      <w:r w:rsidRPr="00F9018F">
        <w:t>2016)</w:t>
      </w:r>
      <w:r w:rsidRPr="00F9018F">
        <w:fldChar w:fldCharType="end"/>
      </w:r>
      <w:r w:rsidRPr="00F9018F">
        <w:t xml:space="preserve"> conducted a qualitative investigation on the association between Kenya's commercial banks' performance</w:t>
      </w:r>
      <w:r w:rsidRPr="004D381C">
        <w:t xml:space="preserve"> and exchange rate volatility. According to the study, there is a tenuous positive correlation between the performance of commercial banks and exchange rate volatility. In light of the adoption of the valuables, this study is crucial to the current study. The adoption of a qualitative research design may have contributed to the weak relationship. </w:t>
      </w:r>
      <w:r>
        <w:t>Contrary, an e</w:t>
      </w:r>
      <w:r w:rsidRPr="004D381C">
        <w:t>mpirical analysis will be used in this investigation.</w:t>
      </w:r>
    </w:p>
    <w:p w14:paraId="1F7213B6" w14:textId="735AF841" w:rsidR="00F21A70" w:rsidRDefault="00F21A70" w:rsidP="00F21A70">
      <w:r>
        <w:t xml:space="preserve">A similar </w:t>
      </w:r>
      <w:r w:rsidRPr="00F9018F">
        <w:t xml:space="preserve">study by </w:t>
      </w:r>
      <w:r w:rsidRPr="00F9018F">
        <w:fldChar w:fldCharType="begin"/>
      </w:r>
      <w:r w:rsidRPr="00F9018F">
        <w:instrText xml:space="preserve"> ADDIN ZOTERO_ITEM CSL_CITATION {"citationID":"a55sgm2cdl","properties":{"formattedCitation":"\\uldash{(Kemisola et al., 2016)}","plainCitation":"(Kemisola et al., 2016)","noteIndex":0},"citationItems":[{"id":151,"uris":["http://zotero.org/users/local/gmijzRh7/items/UBM6M6ZA"],"itemData":{"id":151,"type":"article-journal","abstract":"This study empirically examined the effect of exchange rate fluctuation on banks performance in Nigeria covering the period of ten years between 2005 and 2014. We measured exchange rate fluctuation by return average annual values of US dollar to Naira for the ten-year period. We tested our exchange rate for volatility (ARCH LM test) proving its fluctuating nature. Hausman Test was conducted for fixed and random effect preferred option. We found that exchange rates fluctuation had an insignificant effect on banks profitability using ROA as a measure while exchange rates fluctuation had a significant negative effect on banks liquidity using LDR as a measure. Therefore, we concluded that the effect of exchange rates fluctuation on banks performance is subjective on the specific measure of performance used in the research. However, our results suggest that further depreciation in the value of naira will lead to a fall in the liquidity position of the banks. As such we recommend that adequate care must be taken in establishing policies within the bank to hedge against foreign exchange risk. Furthermore, the banking sector is a vital part of the Nigerian economy and has contributed immensely to the overall GDP; we therefore suggest that the monetary authorities of Nigeria should re-assess its trade policies to incorporate strategies (high import duties, Pioneer Status, Preservation of the value of the domestic currency, maintenance of favourable external reserves position and ensuring external balance without compromising the need for internal balance) with the sole aim of enhancing naira value.","language":"en","page":"11","source":"Zotero","title":"Exchange Rate Volatility and Banks Performance: Evidence from Nigeria","volume":"2","author":[{"family":"Kemisola","given":"C"},{"family":"Ademola","given":"Osundina J"},{"family":"Olamide","given":"Jayeoba O"},{"family":"Moses","given":"Olayinka I"}],"issued":{"date-parts":[["2016"]]}}}],"schema":"https://github.com/citation-style-language/schema/raw/master/csl-citation.json"} </w:instrText>
      </w:r>
      <w:r w:rsidRPr="00F9018F">
        <w:fldChar w:fldCharType="separate"/>
      </w:r>
      <w:proofErr w:type="spellStart"/>
      <w:r w:rsidRPr="00F9018F">
        <w:t>Kemisola</w:t>
      </w:r>
      <w:proofErr w:type="spellEnd"/>
      <w:r w:rsidRPr="00F9018F">
        <w:t xml:space="preserve"> et al.</w:t>
      </w:r>
      <w:r w:rsidR="0061520D">
        <w:t xml:space="preserve"> (</w:t>
      </w:r>
      <w:r w:rsidRPr="00F9018F">
        <w:t>2016)</w:t>
      </w:r>
      <w:r w:rsidRPr="00F9018F">
        <w:fldChar w:fldCharType="end"/>
      </w:r>
      <w:r w:rsidRPr="00F9018F">
        <w:t xml:space="preserve"> evaluated</w:t>
      </w:r>
      <w:r w:rsidRPr="004D381C">
        <w:t xml:space="preserve"> the impact of exchange rate fluctuations on Nigerian banks' performance from 2005 to 2014 using annualized data. </w:t>
      </w:r>
      <w:r w:rsidRPr="00754E76">
        <w:t>The ARCH model was employed to estimate the volatility of the exchange rate, and the Hausman test revealed that random effects w</w:t>
      </w:r>
      <w:r w:rsidR="00097BFD">
        <w:t>ere</w:t>
      </w:r>
      <w:r w:rsidRPr="00754E76">
        <w:t xml:space="preserve"> the best option. The results showed that ROA was unaffected by the erratic nature of currency exchange rates. ROA is important since it serves as a substitute for profitability in the current study. The ARCH LM test, however, might have had an impact on the outcomes; this is fixed by using a GARCH model.</w:t>
      </w:r>
    </w:p>
    <w:p w14:paraId="766AFB6A" w14:textId="66222C6B" w:rsidR="00F21A70" w:rsidRDefault="00F21A70" w:rsidP="00F21A70">
      <w:r w:rsidRPr="00754E76">
        <w:t>A</w:t>
      </w:r>
      <w:r>
        <w:t>n inquiry</w:t>
      </w:r>
      <w:r w:rsidRPr="00754E76">
        <w:t xml:space="preserve"> on </w:t>
      </w:r>
      <w:r>
        <w:t xml:space="preserve">the </w:t>
      </w:r>
      <w:r w:rsidRPr="00754E76">
        <w:t xml:space="preserve">exchange rates </w:t>
      </w:r>
      <w:r>
        <w:t xml:space="preserve">impact </w:t>
      </w:r>
      <w:r w:rsidRPr="00754E76">
        <w:t xml:space="preserve">on the profitability </w:t>
      </w:r>
      <w:r>
        <w:t xml:space="preserve">involving </w:t>
      </w:r>
      <w:r w:rsidRPr="00754E76">
        <w:t>Nairobi Securities Exchange</w:t>
      </w:r>
      <w:r w:rsidR="00097BFD">
        <w:t>-</w:t>
      </w:r>
      <w:r>
        <w:t xml:space="preserve">listed </w:t>
      </w:r>
      <w:r w:rsidRPr="00754E76">
        <w:t xml:space="preserve">commercial banks was undertaken by </w:t>
      </w:r>
      <w:proofErr w:type="spellStart"/>
      <w:r w:rsidRPr="00754E76">
        <w:t>Lagat</w:t>
      </w:r>
      <w:proofErr w:type="spellEnd"/>
      <w:r w:rsidRPr="00754E76">
        <w:t xml:space="preserve"> and </w:t>
      </w:r>
      <w:proofErr w:type="spellStart"/>
      <w:r w:rsidRPr="00754E76">
        <w:t>Nyandema</w:t>
      </w:r>
      <w:proofErr w:type="spellEnd"/>
      <w:r>
        <w:t xml:space="preserve"> (</w:t>
      </w:r>
      <w:r w:rsidRPr="00754E76">
        <w:t>2016</w:t>
      </w:r>
      <w:r>
        <w:t>)</w:t>
      </w:r>
      <w:r w:rsidRPr="00754E76">
        <w:t>. The period from 2006 to 2013 was the intended demography for the time series correlation research design. Profitability served as the dependent variable, and multivariate linear regressions were used to ascertain how the independent factors related to profitability (interest rates, inflation rates, and foreign exchange rate changes). Financial performance measures like return on assets and customer retention were found to have a strong positive correlation with exchange rates. This study takes a step further by looking at how the risk of exchange rate fluctuations impacts financial performance.</w:t>
      </w:r>
    </w:p>
    <w:p w14:paraId="013C0A99" w14:textId="244F2FE8" w:rsidR="00F21A70" w:rsidRDefault="00F21A70" w:rsidP="00F21A70">
      <w:r w:rsidRPr="00F9018F">
        <w:fldChar w:fldCharType="begin"/>
      </w:r>
      <w:r w:rsidRPr="00F9018F">
        <w:instrText xml:space="preserve"> ADDIN ZOTERO_ITEM CSL_CITATION {"citationID":"aaoqc5hq33","properties":{"formattedCitation":"\\uldash{(Majok, 2015)}","plainCitation":"(Majok, 2015)","noteIndex":0},"citationItems":[{"id":184,"uris":["http://zotero.org/users/local/gmijzRh7/items/32QVZYMD"],"itemData":{"id":184,"type":"article-journal","language":"en","page":"54","source":"Zotero","title":"Effects of exchange rate fluctuations on financial performance of commercial banks in Kenya","author":[{"family":"Majok","given":"Elizabeth"}],"issued":{"date-parts":[["2015"]]}}}],"schema":"https://github.com/citation-style-language/schema/raw/master/csl-citation.json"} </w:instrText>
      </w:r>
      <w:r w:rsidRPr="00F9018F">
        <w:fldChar w:fldCharType="separate"/>
      </w:r>
      <w:r w:rsidRPr="00F9018F">
        <w:t>Majok</w:t>
      </w:r>
      <w:r>
        <w:t xml:space="preserve"> (</w:t>
      </w:r>
      <w:r w:rsidRPr="00F9018F">
        <w:t>2015)</w:t>
      </w:r>
      <w:r w:rsidRPr="00F9018F">
        <w:fldChar w:fldCharType="end"/>
      </w:r>
      <w:r w:rsidRPr="00F9018F">
        <w:t xml:space="preserve"> studied how volatility affected the profitability of 43 Kenyan commercial banks</w:t>
      </w:r>
      <w:r w:rsidRPr="00FD4787">
        <w:t xml:space="preserve"> from 2002 to 2014.</w:t>
      </w:r>
      <w:r w:rsidR="00097BFD">
        <w:t xml:space="preserve"> </w:t>
      </w:r>
      <w:r w:rsidRPr="00FD4787">
        <w:t>Using an ANOVA and a descriptive research design, the study looked at the 43 commercial banks' ROA as a performance indicator.</w:t>
      </w:r>
      <w:r>
        <w:t xml:space="preserve"> </w:t>
      </w:r>
      <w:r w:rsidRPr="00FD4787">
        <w:t xml:space="preserve">The study </w:t>
      </w:r>
      <w:r>
        <w:t xml:space="preserve">established that volatility is </w:t>
      </w:r>
      <w:r w:rsidRPr="00FD4787">
        <w:t>positiv</w:t>
      </w:r>
      <w:r>
        <w:t>ely related to</w:t>
      </w:r>
      <w:r w:rsidRPr="00FD4787">
        <w:t xml:space="preserve"> returns on assets.</w:t>
      </w:r>
      <w:r>
        <w:t xml:space="preserve"> </w:t>
      </w:r>
      <w:r w:rsidRPr="00FD4787">
        <w:t xml:space="preserve">The ANOVA method becomes ineffective when there are two or more dependent variables, which could lead to bias in the study's findings. </w:t>
      </w:r>
    </w:p>
    <w:p w14:paraId="776F3112" w14:textId="13831D07" w:rsidR="00F21A70" w:rsidRDefault="00F21A70" w:rsidP="00F21A70">
      <w:r w:rsidRPr="004D381C">
        <w:t xml:space="preserve">In analyzing the </w:t>
      </w:r>
      <w:r>
        <w:t xml:space="preserve">extent of </w:t>
      </w:r>
      <w:r w:rsidRPr="004D381C">
        <w:t>exchange rate fluctuation</w:t>
      </w:r>
      <w:r>
        <w:t>s</w:t>
      </w:r>
      <w:r w:rsidRPr="004D381C">
        <w:t xml:space="preserve"> influence on </w:t>
      </w:r>
      <w:r>
        <w:t>Nigerian banks as a</w:t>
      </w:r>
      <w:r w:rsidRPr="004D381C">
        <w:t xml:space="preserve"> measure </w:t>
      </w:r>
      <w:r>
        <w:t xml:space="preserve">of </w:t>
      </w:r>
      <w:r w:rsidRPr="004D381C">
        <w:t>risk, Isaac (2015) employed an auto</w:t>
      </w:r>
      <w:r w:rsidR="00097BFD">
        <w:t>-</w:t>
      </w:r>
      <w:r w:rsidRPr="004D381C">
        <w:t>regression conditional model that draws on secondary sources of data. The conditional variance was described by the model as a deterministic function of the squared residual of earlier periods. The investigation found that increases in exchange rates are caused by an increase in profit after taxes.</w:t>
      </w:r>
    </w:p>
    <w:p w14:paraId="7FBA8728" w14:textId="33E9731B" w:rsidR="00F21A70" w:rsidRPr="00F9018F" w:rsidRDefault="00097BFD" w:rsidP="0061520D">
      <w:r>
        <w:t>A</w:t>
      </w:r>
      <w:r w:rsidR="00F21A70">
        <w:t xml:space="preserve"> similar study concerning the</w:t>
      </w:r>
      <w:r w:rsidR="00F21A70" w:rsidRPr="0065136A">
        <w:t xml:space="preserve"> </w:t>
      </w:r>
      <w:r w:rsidR="00F21A70">
        <w:t>commercial</w:t>
      </w:r>
      <w:r w:rsidR="00F21A70" w:rsidRPr="0065136A">
        <w:t xml:space="preserve"> banks</w:t>
      </w:r>
      <w:r w:rsidR="00F21A70">
        <w:t xml:space="preserve"> in </w:t>
      </w:r>
      <w:proofErr w:type="spellStart"/>
      <w:r w:rsidR="00F21A70">
        <w:t>Gahna</w:t>
      </w:r>
      <w:proofErr w:type="spellEnd"/>
      <w:r w:rsidR="00F21A70" w:rsidRPr="0065136A">
        <w:t xml:space="preserve">, </w:t>
      </w:r>
      <w:proofErr w:type="spellStart"/>
      <w:r w:rsidR="00F21A70" w:rsidRPr="0065136A">
        <w:t>Addael</w:t>
      </w:r>
      <w:proofErr w:type="spellEnd"/>
      <w:r w:rsidR="00F21A70" w:rsidRPr="0065136A">
        <w:t>, Nyarko-</w:t>
      </w:r>
      <w:proofErr w:type="spellStart"/>
      <w:r w:rsidR="00F21A70" w:rsidRPr="0065136A">
        <w:t>Baasil</w:t>
      </w:r>
      <w:proofErr w:type="spellEnd"/>
      <w:r w:rsidR="00F21A70" w:rsidRPr="0065136A">
        <w:t>, and Tetteh (2014) focus</w:t>
      </w:r>
      <w:r w:rsidR="00F21A70">
        <w:t>ed</w:t>
      </w:r>
      <w:r w:rsidR="00F21A70" w:rsidRPr="0065136A">
        <w:t xml:space="preserve"> on the</w:t>
      </w:r>
      <w:r w:rsidR="00F21A70">
        <w:t xml:space="preserve"> s</w:t>
      </w:r>
      <w:r w:rsidR="00F21A70" w:rsidRPr="0065136A">
        <w:t xml:space="preserve">ensitivity </w:t>
      </w:r>
      <w:r w:rsidR="00F21A70">
        <w:t xml:space="preserve">of the </w:t>
      </w:r>
      <w:r w:rsidR="00F21A70" w:rsidRPr="0065136A">
        <w:t xml:space="preserve">exchange rate of </w:t>
      </w:r>
      <w:r w:rsidR="00F21A70">
        <w:t>selected commercial</w:t>
      </w:r>
      <w:r w:rsidR="00F21A70" w:rsidRPr="0065136A">
        <w:t xml:space="preserve"> banks between 2005 and 2010.</w:t>
      </w:r>
      <w:r w:rsidR="0061520D">
        <w:t xml:space="preserve"> </w:t>
      </w:r>
      <w:r w:rsidR="00F21A70" w:rsidRPr="0065136A">
        <w:t xml:space="preserve">This study utilized econometric models in addition to qualitative and quantitative methods. The study's findings </w:t>
      </w:r>
      <w:r w:rsidR="00F21A70">
        <w:t>provided evidence</w:t>
      </w:r>
      <w:r w:rsidR="00F21A70" w:rsidRPr="0065136A">
        <w:t xml:space="preserve"> that the </w:t>
      </w:r>
      <w:r w:rsidR="00F21A70">
        <w:t xml:space="preserve">observed commercial </w:t>
      </w:r>
      <w:r w:rsidR="00F21A70" w:rsidRPr="0065136A">
        <w:t xml:space="preserve">banks </w:t>
      </w:r>
      <w:r w:rsidR="00F21A70">
        <w:t>involved themselves</w:t>
      </w:r>
      <w:r w:rsidR="00F21A70" w:rsidRPr="0065136A">
        <w:t xml:space="preserve"> in trading</w:t>
      </w:r>
      <w:r w:rsidR="00F21A70">
        <w:t xml:space="preserve"> in foreign exchange</w:t>
      </w:r>
      <w:r w:rsidR="00F21A70" w:rsidRPr="0065136A">
        <w:t xml:space="preserve"> and </w:t>
      </w:r>
      <w:r w:rsidR="00F21A70">
        <w:t>gained in terms of profit</w:t>
      </w:r>
      <w:r w:rsidR="00F21A70" w:rsidRPr="0065136A">
        <w:t xml:space="preserve"> from </w:t>
      </w:r>
      <w:r w:rsidR="00F21A70">
        <w:t>foreign exchange trading</w:t>
      </w:r>
      <w:r w:rsidR="00F21A70" w:rsidRPr="0065136A">
        <w:t>.</w:t>
      </w:r>
    </w:p>
    <w:p w14:paraId="31E00C6F" w14:textId="77777777" w:rsidR="00F21A70" w:rsidRDefault="00F21A70" w:rsidP="00F21A70">
      <w:pPr>
        <w:pStyle w:val="Heading2"/>
        <w:spacing w:after="160"/>
      </w:pPr>
      <w:r>
        <w:lastRenderedPageBreak/>
        <w:t xml:space="preserve">3.0 </w:t>
      </w:r>
      <w:r w:rsidRPr="0099121B">
        <w:t xml:space="preserve">Methodology </w:t>
      </w:r>
    </w:p>
    <w:p w14:paraId="7B49BE62" w14:textId="0902CF30" w:rsidR="00F21A70" w:rsidRPr="00F9018F" w:rsidRDefault="00F21A70" w:rsidP="0061520D">
      <w:r>
        <w:t xml:space="preserve">The study employed </w:t>
      </w:r>
      <w:r w:rsidR="00097BFD">
        <w:t xml:space="preserve">an </w:t>
      </w:r>
      <w:r>
        <w:t xml:space="preserve">explanatory research design. The study covered the period </w:t>
      </w:r>
      <w:r w:rsidR="00097BFD">
        <w:t xml:space="preserve">from </w:t>
      </w:r>
      <w:r>
        <w:t>2000 to 2020 and utilized secondary data sourced from Central Banks and World Bank. The study employed a panel estimation</w:t>
      </w:r>
      <w:r>
        <w:rPr>
          <w:spacing w:val="2"/>
        </w:rPr>
        <w:t xml:space="preserve"> </w:t>
      </w:r>
      <w:r>
        <w:t>procedure</w:t>
      </w:r>
      <w:r>
        <w:rPr>
          <w:spacing w:val="2"/>
        </w:rPr>
        <w:t xml:space="preserve"> </w:t>
      </w:r>
      <w:r>
        <w:t>since</w:t>
      </w:r>
      <w:r>
        <w:rPr>
          <w:spacing w:val="-7"/>
        </w:rPr>
        <w:t xml:space="preserve"> </w:t>
      </w:r>
      <w:r>
        <w:t>the</w:t>
      </w:r>
      <w:r>
        <w:rPr>
          <w:spacing w:val="-9"/>
        </w:rPr>
        <w:t xml:space="preserve"> </w:t>
      </w:r>
      <w:r>
        <w:t>data</w:t>
      </w:r>
      <w:r>
        <w:rPr>
          <w:spacing w:val="-8"/>
        </w:rPr>
        <w:t xml:space="preserve"> </w:t>
      </w:r>
      <w:r>
        <w:t>was</w:t>
      </w:r>
      <w:r>
        <w:rPr>
          <w:spacing w:val="-1"/>
        </w:rPr>
        <w:t xml:space="preserve"> </w:t>
      </w:r>
      <w:r>
        <w:t xml:space="preserve">collected in panel series. </w:t>
      </w:r>
      <w:r w:rsidR="00097BFD">
        <w:t>T</w:t>
      </w:r>
      <w:r w:rsidRPr="00F9018F">
        <w:t xml:space="preserve">o analyze the effect of volatility on </w:t>
      </w:r>
      <w:r w:rsidR="00097BFD">
        <w:t xml:space="preserve">the </w:t>
      </w:r>
      <w:r w:rsidRPr="00F9018F">
        <w:t>performance of commercial banks in EAC, descriptive and inferential analys</w:t>
      </w:r>
      <w:r w:rsidR="00097BFD">
        <w:t>e</w:t>
      </w:r>
      <w:r w:rsidRPr="00F9018F">
        <w:t xml:space="preserve">s were conducted. The descriptive statistics used to describe the study variables are the mean standard deviation minimum and maximum values. </w:t>
      </w:r>
      <w:r w:rsidR="00097BFD">
        <w:t>T</w:t>
      </w:r>
      <w:r w:rsidRPr="00F9018F">
        <w:t>o further explore the relationship, inferential statistics which include</w:t>
      </w:r>
      <w:r>
        <w:t>d</w:t>
      </w:r>
      <w:r w:rsidRPr="00F9018F">
        <w:t xml:space="preserve"> correlation and regression analysis were used. Diagnostic tests which include the test for unit root test for the</w:t>
      </w:r>
      <w:r w:rsidRPr="00790293">
        <w:rPr>
          <w:szCs w:val="24"/>
        </w:rPr>
        <w:t xml:space="preserve"> series </w:t>
      </w:r>
      <w:r w:rsidR="00097BFD">
        <w:rPr>
          <w:szCs w:val="24"/>
        </w:rPr>
        <w:t>and the H</w:t>
      </w:r>
      <w:r w:rsidRPr="00790293">
        <w:rPr>
          <w:szCs w:val="24"/>
        </w:rPr>
        <w:t xml:space="preserve">ausman test for random and fixed effects and </w:t>
      </w:r>
      <w:r>
        <w:rPr>
          <w:szCs w:val="24"/>
          <w:lang w:eastAsia="en-GB"/>
        </w:rPr>
        <w:t>heteroscedasticity were conducted</w:t>
      </w:r>
      <w:r w:rsidRPr="00790293">
        <w:rPr>
          <w:szCs w:val="24"/>
        </w:rPr>
        <w:t>.</w:t>
      </w:r>
    </w:p>
    <w:p w14:paraId="5719C16B" w14:textId="77777777" w:rsidR="00F21A70" w:rsidRDefault="00F21A70" w:rsidP="00F21A70">
      <w:pPr>
        <w:pStyle w:val="Heading2"/>
        <w:spacing w:after="160"/>
      </w:pPr>
      <w:r>
        <w:t xml:space="preserve">4.0 </w:t>
      </w:r>
      <w:r w:rsidRPr="0099121B">
        <w:t xml:space="preserve">Results </w:t>
      </w:r>
      <w:r>
        <w:t>and Discussion</w:t>
      </w:r>
    </w:p>
    <w:p w14:paraId="121DFD9E" w14:textId="77777777" w:rsidR="00F21A70" w:rsidRPr="007E0791" w:rsidRDefault="00F21A70" w:rsidP="00F21A70">
      <w:pPr>
        <w:rPr>
          <w:b/>
          <w:bCs/>
          <w:i/>
          <w:iCs/>
        </w:rPr>
      </w:pPr>
      <w:bookmarkStart w:id="9" w:name="_Toc119534079"/>
      <w:r w:rsidRPr="007E0791">
        <w:rPr>
          <w:b/>
          <w:bCs/>
          <w:i/>
          <w:iCs/>
        </w:rPr>
        <w:t>Stationarity Test</w:t>
      </w:r>
      <w:bookmarkEnd w:id="9"/>
    </w:p>
    <w:p w14:paraId="23973E6A" w14:textId="7BA2852D" w:rsidR="00F21A70" w:rsidRDefault="00F21A70" w:rsidP="0061520D">
      <w:r>
        <w:t>Stationarity test was carrie</w:t>
      </w:r>
      <w:r w:rsidR="00097BFD">
        <w:t>d</w:t>
      </w:r>
      <w:r>
        <w:t xml:space="preserve"> out and</w:t>
      </w:r>
      <w:r w:rsidRPr="003B6B86">
        <w:t xml:space="preserve"> </w:t>
      </w:r>
      <w:r w:rsidR="00097BFD">
        <w:t xml:space="preserve">the </w:t>
      </w:r>
      <w:r w:rsidRPr="003B6B86">
        <w:t xml:space="preserve">unit root at </w:t>
      </w:r>
      <w:r w:rsidR="00097BFD">
        <w:t xml:space="preserve">the </w:t>
      </w:r>
      <w:r w:rsidRPr="003B6B86">
        <w:t>level is found in GDP, return on assets, capital, credit, and inflation, as shown in Table 1.</w:t>
      </w:r>
      <w:r>
        <w:t xml:space="preserve"> </w:t>
      </w:r>
      <w:r w:rsidRPr="003B6B86">
        <w:t>It was discovered that the levels of the exchange rate volatility rate do not contain a unit root.</w:t>
      </w:r>
      <w:r>
        <w:t xml:space="preserve"> </w:t>
      </w:r>
      <w:r w:rsidRPr="003B6B86">
        <w:t>Regressions could produce erroneous results if non-stationary variables were used, so the variables at first difference were used.</w:t>
      </w:r>
      <w:r>
        <w:t xml:space="preserve"> At the 5 percent</w:t>
      </w:r>
      <w:r w:rsidRPr="003B6B86">
        <w:t xml:space="preserve"> significance level, each variable's first difference was stationary.</w:t>
      </w:r>
    </w:p>
    <w:p w14:paraId="7C421BD5" w14:textId="77777777" w:rsidR="00F21A70" w:rsidRPr="007E0791" w:rsidRDefault="00F21A70" w:rsidP="00F21A70">
      <w:pPr>
        <w:rPr>
          <w:b/>
          <w:bCs/>
          <w:i/>
        </w:rPr>
      </w:pPr>
      <w:bookmarkStart w:id="10" w:name="_Toc118669922"/>
      <w:r w:rsidRPr="007E0791">
        <w:rPr>
          <w:b/>
          <w:bCs/>
        </w:rPr>
        <w:t xml:space="preserve">Table </w:t>
      </w:r>
      <w:r w:rsidRPr="007E0791">
        <w:rPr>
          <w:b/>
          <w:bCs/>
          <w:i/>
        </w:rPr>
        <w:fldChar w:fldCharType="begin"/>
      </w:r>
      <w:r w:rsidRPr="007E0791">
        <w:rPr>
          <w:b/>
          <w:bCs/>
        </w:rPr>
        <w:instrText xml:space="preserve"> SEQ Table \* ARABIC \s 1 </w:instrText>
      </w:r>
      <w:r w:rsidRPr="007E0791">
        <w:rPr>
          <w:b/>
          <w:bCs/>
          <w:i/>
        </w:rPr>
        <w:fldChar w:fldCharType="separate"/>
      </w:r>
      <w:r w:rsidRPr="007E0791">
        <w:rPr>
          <w:b/>
          <w:bCs/>
          <w:noProof/>
        </w:rPr>
        <w:t>1</w:t>
      </w:r>
      <w:r w:rsidRPr="007E0791">
        <w:rPr>
          <w:b/>
          <w:bCs/>
          <w:i/>
        </w:rPr>
        <w:fldChar w:fldCharType="end"/>
      </w:r>
      <w:r w:rsidRPr="007E0791">
        <w:rPr>
          <w:b/>
          <w:bCs/>
          <w:i/>
        </w:rPr>
        <w:t xml:space="preserve">: </w:t>
      </w:r>
      <w:r w:rsidRPr="007E0791">
        <w:rPr>
          <w:b/>
          <w:bCs/>
        </w:rPr>
        <w:t>Results of Levin – Lin – Chu Test</w:t>
      </w:r>
      <w:bookmarkEnd w:id="10"/>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21A70" w:rsidRPr="005E27FE" w14:paraId="4370071E" w14:textId="77777777" w:rsidTr="00B50A79">
        <w:tc>
          <w:tcPr>
            <w:tcW w:w="5152" w:type="dxa"/>
            <w:gridSpan w:val="4"/>
            <w:tcBorders>
              <w:top w:val="single" w:sz="4" w:space="0" w:color="auto"/>
              <w:left w:val="single" w:sz="4" w:space="0" w:color="auto"/>
              <w:bottom w:val="single" w:sz="4" w:space="0" w:color="auto"/>
              <w:right w:val="single" w:sz="4" w:space="0" w:color="auto"/>
            </w:tcBorders>
            <w:hideMark/>
          </w:tcPr>
          <w:p w14:paraId="0F32A47B" w14:textId="77777777" w:rsidR="00F21A70" w:rsidRPr="005E27FE" w:rsidRDefault="00F21A70" w:rsidP="00B50A79">
            <w:pPr>
              <w:spacing w:before="0"/>
              <w:rPr>
                <w:b/>
                <w:szCs w:val="24"/>
              </w:rPr>
            </w:pPr>
            <w:r w:rsidRPr="005E27FE">
              <w:rPr>
                <w:b/>
                <w:szCs w:val="24"/>
              </w:rPr>
              <w:t xml:space="preserve">Variables at level </w:t>
            </w:r>
          </w:p>
        </w:tc>
        <w:tc>
          <w:tcPr>
            <w:tcW w:w="3864" w:type="dxa"/>
            <w:gridSpan w:val="3"/>
            <w:tcBorders>
              <w:top w:val="single" w:sz="4" w:space="0" w:color="auto"/>
              <w:left w:val="single" w:sz="4" w:space="0" w:color="auto"/>
              <w:bottom w:val="single" w:sz="4" w:space="0" w:color="auto"/>
              <w:right w:val="single" w:sz="4" w:space="0" w:color="auto"/>
            </w:tcBorders>
            <w:hideMark/>
          </w:tcPr>
          <w:p w14:paraId="24DCBDF4" w14:textId="77777777" w:rsidR="00F21A70" w:rsidRPr="005E27FE" w:rsidRDefault="00F21A70" w:rsidP="00B50A79">
            <w:pPr>
              <w:spacing w:before="0"/>
              <w:rPr>
                <w:b/>
                <w:szCs w:val="24"/>
              </w:rPr>
            </w:pPr>
            <w:r w:rsidRPr="005E27FE">
              <w:rPr>
                <w:b/>
                <w:szCs w:val="24"/>
              </w:rPr>
              <w:t xml:space="preserve">Variables at first difference </w:t>
            </w:r>
          </w:p>
        </w:tc>
      </w:tr>
      <w:tr w:rsidR="00F21A70" w14:paraId="5ED9B023"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3BCDDCB2" w14:textId="77777777" w:rsidR="00F21A70" w:rsidRPr="005E27FE" w:rsidRDefault="00F21A70" w:rsidP="00B50A79">
            <w:pPr>
              <w:spacing w:before="0"/>
              <w:rPr>
                <w:b/>
                <w:szCs w:val="24"/>
              </w:rPr>
            </w:pPr>
            <w:r w:rsidRPr="005E27FE">
              <w:rPr>
                <w:b/>
                <w:szCs w:val="24"/>
              </w:rPr>
              <w:t xml:space="preserve">Variable </w:t>
            </w:r>
          </w:p>
        </w:tc>
        <w:tc>
          <w:tcPr>
            <w:tcW w:w="1288" w:type="dxa"/>
            <w:tcBorders>
              <w:top w:val="single" w:sz="4" w:space="0" w:color="auto"/>
              <w:left w:val="single" w:sz="4" w:space="0" w:color="auto"/>
              <w:bottom w:val="single" w:sz="4" w:space="0" w:color="auto"/>
              <w:right w:val="single" w:sz="4" w:space="0" w:color="auto"/>
            </w:tcBorders>
            <w:hideMark/>
          </w:tcPr>
          <w:p w14:paraId="6398677D" w14:textId="77777777" w:rsidR="00F21A70" w:rsidRPr="003A16BC" w:rsidRDefault="00F21A70" w:rsidP="00B50A79">
            <w:pPr>
              <w:spacing w:before="0"/>
              <w:rPr>
                <w:b/>
                <w:szCs w:val="24"/>
              </w:rPr>
            </w:pPr>
            <w:r w:rsidRPr="003A16BC">
              <w:rPr>
                <w:b/>
                <w:szCs w:val="24"/>
              </w:rPr>
              <w:t xml:space="preserve">Z </w:t>
            </w:r>
          </w:p>
        </w:tc>
        <w:tc>
          <w:tcPr>
            <w:tcW w:w="1288" w:type="dxa"/>
            <w:tcBorders>
              <w:top w:val="single" w:sz="4" w:space="0" w:color="auto"/>
              <w:left w:val="single" w:sz="4" w:space="0" w:color="auto"/>
              <w:bottom w:val="single" w:sz="4" w:space="0" w:color="auto"/>
              <w:right w:val="single" w:sz="4" w:space="0" w:color="auto"/>
            </w:tcBorders>
            <w:hideMark/>
          </w:tcPr>
          <w:p w14:paraId="68C7038B" w14:textId="77777777" w:rsidR="00F21A70" w:rsidRPr="003A16BC" w:rsidRDefault="00F21A70" w:rsidP="00B50A79">
            <w:pPr>
              <w:spacing w:before="0"/>
              <w:rPr>
                <w:b/>
                <w:szCs w:val="24"/>
              </w:rPr>
            </w:pPr>
            <w:r w:rsidRPr="003A16BC">
              <w:rPr>
                <w:b/>
                <w:szCs w:val="24"/>
              </w:rPr>
              <w:t>P value</w:t>
            </w:r>
          </w:p>
        </w:tc>
        <w:tc>
          <w:tcPr>
            <w:tcW w:w="1288" w:type="dxa"/>
            <w:tcBorders>
              <w:top w:val="single" w:sz="4" w:space="0" w:color="auto"/>
              <w:left w:val="single" w:sz="4" w:space="0" w:color="auto"/>
              <w:bottom w:val="single" w:sz="4" w:space="0" w:color="auto"/>
              <w:right w:val="single" w:sz="4" w:space="0" w:color="auto"/>
            </w:tcBorders>
            <w:hideMark/>
          </w:tcPr>
          <w:p w14:paraId="35DFE33C" w14:textId="77777777" w:rsidR="00F21A70" w:rsidRPr="003A16BC" w:rsidRDefault="00F21A70" w:rsidP="00B50A79">
            <w:pPr>
              <w:spacing w:before="0"/>
              <w:rPr>
                <w:b/>
                <w:szCs w:val="24"/>
              </w:rPr>
            </w:pPr>
            <w:r w:rsidRPr="003A16BC">
              <w:rPr>
                <w:b/>
                <w:szCs w:val="24"/>
              </w:rPr>
              <w:t>Remarks</w:t>
            </w:r>
          </w:p>
        </w:tc>
        <w:tc>
          <w:tcPr>
            <w:tcW w:w="1288" w:type="dxa"/>
            <w:tcBorders>
              <w:top w:val="single" w:sz="4" w:space="0" w:color="auto"/>
              <w:left w:val="single" w:sz="4" w:space="0" w:color="auto"/>
              <w:bottom w:val="single" w:sz="4" w:space="0" w:color="auto"/>
              <w:right w:val="single" w:sz="4" w:space="0" w:color="auto"/>
            </w:tcBorders>
            <w:hideMark/>
          </w:tcPr>
          <w:p w14:paraId="691D3250" w14:textId="77777777" w:rsidR="00F21A70" w:rsidRPr="003A16BC" w:rsidRDefault="00F21A70" w:rsidP="00B50A79">
            <w:pPr>
              <w:spacing w:before="0"/>
              <w:rPr>
                <w:b/>
                <w:szCs w:val="24"/>
              </w:rPr>
            </w:pPr>
            <w:r w:rsidRPr="003A16BC">
              <w:rPr>
                <w:b/>
                <w:szCs w:val="24"/>
              </w:rPr>
              <w:t xml:space="preserve">Z </w:t>
            </w:r>
          </w:p>
        </w:tc>
        <w:tc>
          <w:tcPr>
            <w:tcW w:w="1288" w:type="dxa"/>
            <w:tcBorders>
              <w:top w:val="single" w:sz="4" w:space="0" w:color="auto"/>
              <w:left w:val="single" w:sz="4" w:space="0" w:color="auto"/>
              <w:bottom w:val="single" w:sz="4" w:space="0" w:color="auto"/>
              <w:right w:val="single" w:sz="4" w:space="0" w:color="auto"/>
            </w:tcBorders>
            <w:hideMark/>
          </w:tcPr>
          <w:p w14:paraId="202005C6" w14:textId="77777777" w:rsidR="00F21A70" w:rsidRPr="003A16BC" w:rsidRDefault="00F21A70" w:rsidP="00B50A79">
            <w:pPr>
              <w:spacing w:before="0"/>
              <w:rPr>
                <w:b/>
                <w:szCs w:val="24"/>
              </w:rPr>
            </w:pPr>
            <w:r w:rsidRPr="003A16BC">
              <w:rPr>
                <w:b/>
                <w:szCs w:val="24"/>
              </w:rPr>
              <w:t>P value</w:t>
            </w:r>
          </w:p>
        </w:tc>
        <w:tc>
          <w:tcPr>
            <w:tcW w:w="1288" w:type="dxa"/>
            <w:tcBorders>
              <w:top w:val="single" w:sz="4" w:space="0" w:color="auto"/>
              <w:left w:val="single" w:sz="4" w:space="0" w:color="auto"/>
              <w:bottom w:val="single" w:sz="4" w:space="0" w:color="auto"/>
              <w:right w:val="single" w:sz="4" w:space="0" w:color="auto"/>
            </w:tcBorders>
            <w:hideMark/>
          </w:tcPr>
          <w:p w14:paraId="078A4730" w14:textId="77777777" w:rsidR="00F21A70" w:rsidRPr="003A16BC" w:rsidRDefault="00F21A70" w:rsidP="00B50A79">
            <w:pPr>
              <w:spacing w:before="0"/>
              <w:rPr>
                <w:b/>
                <w:szCs w:val="24"/>
              </w:rPr>
            </w:pPr>
            <w:r w:rsidRPr="003A16BC">
              <w:rPr>
                <w:b/>
                <w:szCs w:val="24"/>
              </w:rPr>
              <w:t>Remarks</w:t>
            </w:r>
          </w:p>
        </w:tc>
      </w:tr>
      <w:tr w:rsidR="00F21A70" w14:paraId="08D087FC"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6047154A" w14:textId="77777777" w:rsidR="00F21A70" w:rsidRPr="005E27FE" w:rsidRDefault="00F21A70" w:rsidP="00B50A79">
            <w:pPr>
              <w:spacing w:before="0"/>
              <w:rPr>
                <w:b/>
                <w:szCs w:val="24"/>
              </w:rPr>
            </w:pPr>
            <w:r w:rsidRPr="005E27FE">
              <w:rPr>
                <w:b/>
                <w:szCs w:val="24"/>
              </w:rPr>
              <w:t>GDP</w:t>
            </w:r>
          </w:p>
        </w:tc>
        <w:tc>
          <w:tcPr>
            <w:tcW w:w="1288" w:type="dxa"/>
            <w:tcBorders>
              <w:top w:val="single" w:sz="4" w:space="0" w:color="auto"/>
              <w:left w:val="single" w:sz="4" w:space="0" w:color="auto"/>
              <w:bottom w:val="single" w:sz="4" w:space="0" w:color="auto"/>
              <w:right w:val="single" w:sz="4" w:space="0" w:color="auto"/>
            </w:tcBorders>
            <w:hideMark/>
          </w:tcPr>
          <w:p w14:paraId="2208AB46" w14:textId="77777777" w:rsidR="00F21A70" w:rsidRDefault="00F21A70" w:rsidP="00B50A79">
            <w:pPr>
              <w:spacing w:before="0"/>
              <w:rPr>
                <w:szCs w:val="24"/>
              </w:rPr>
            </w:pPr>
            <w:r>
              <w:rPr>
                <w:szCs w:val="24"/>
              </w:rPr>
              <w:t xml:space="preserve">0.3986        </w:t>
            </w:r>
          </w:p>
        </w:tc>
        <w:tc>
          <w:tcPr>
            <w:tcW w:w="1288" w:type="dxa"/>
            <w:tcBorders>
              <w:top w:val="single" w:sz="4" w:space="0" w:color="auto"/>
              <w:left w:val="single" w:sz="4" w:space="0" w:color="auto"/>
              <w:bottom w:val="single" w:sz="4" w:space="0" w:color="auto"/>
              <w:right w:val="single" w:sz="4" w:space="0" w:color="auto"/>
            </w:tcBorders>
            <w:hideMark/>
          </w:tcPr>
          <w:p w14:paraId="419F6BC7" w14:textId="77777777" w:rsidR="00F21A70" w:rsidRDefault="00F21A70" w:rsidP="00B50A79">
            <w:pPr>
              <w:spacing w:before="0"/>
              <w:rPr>
                <w:szCs w:val="24"/>
              </w:rPr>
            </w:pPr>
            <w:r>
              <w:rPr>
                <w:szCs w:val="24"/>
              </w:rPr>
              <w:t>0.6549</w:t>
            </w:r>
          </w:p>
        </w:tc>
        <w:tc>
          <w:tcPr>
            <w:tcW w:w="1288" w:type="dxa"/>
            <w:tcBorders>
              <w:top w:val="single" w:sz="4" w:space="0" w:color="auto"/>
              <w:left w:val="single" w:sz="4" w:space="0" w:color="auto"/>
              <w:bottom w:val="single" w:sz="4" w:space="0" w:color="auto"/>
              <w:right w:val="single" w:sz="4" w:space="0" w:color="auto"/>
            </w:tcBorders>
            <w:hideMark/>
          </w:tcPr>
          <w:p w14:paraId="1BF698D9" w14:textId="77777777" w:rsidR="00F21A70" w:rsidRDefault="00F21A70" w:rsidP="00B50A79">
            <w:pPr>
              <w:spacing w:before="0"/>
              <w:rPr>
                <w:szCs w:val="24"/>
              </w:rPr>
            </w:pPr>
            <w:r>
              <w:rPr>
                <w:szCs w:val="24"/>
              </w:rPr>
              <w:t>Unit root</w:t>
            </w:r>
          </w:p>
        </w:tc>
        <w:tc>
          <w:tcPr>
            <w:tcW w:w="1288" w:type="dxa"/>
            <w:tcBorders>
              <w:top w:val="single" w:sz="4" w:space="0" w:color="auto"/>
              <w:left w:val="single" w:sz="4" w:space="0" w:color="auto"/>
              <w:bottom w:val="single" w:sz="4" w:space="0" w:color="auto"/>
              <w:right w:val="single" w:sz="4" w:space="0" w:color="auto"/>
            </w:tcBorders>
            <w:hideMark/>
          </w:tcPr>
          <w:p w14:paraId="5E52715B" w14:textId="77777777" w:rsidR="00F21A70" w:rsidRDefault="00F21A70" w:rsidP="00B50A79">
            <w:pPr>
              <w:spacing w:before="0"/>
              <w:rPr>
                <w:rFonts w:asciiTheme="minorHAnsi" w:hAnsiTheme="minorHAnsi"/>
              </w:rPr>
            </w:pPr>
            <w:r>
              <w:t xml:space="preserve">-4.5925        </w:t>
            </w:r>
          </w:p>
        </w:tc>
        <w:tc>
          <w:tcPr>
            <w:tcW w:w="1288" w:type="dxa"/>
            <w:tcBorders>
              <w:top w:val="single" w:sz="4" w:space="0" w:color="auto"/>
              <w:left w:val="single" w:sz="4" w:space="0" w:color="auto"/>
              <w:bottom w:val="single" w:sz="4" w:space="0" w:color="auto"/>
              <w:right w:val="single" w:sz="4" w:space="0" w:color="auto"/>
            </w:tcBorders>
            <w:hideMark/>
          </w:tcPr>
          <w:p w14:paraId="1BD39690" w14:textId="77777777" w:rsidR="00F21A70" w:rsidRDefault="00F21A70" w:rsidP="00B50A79">
            <w:pPr>
              <w:spacing w:before="0"/>
            </w:pPr>
            <w:r>
              <w:t>0.0000</w:t>
            </w:r>
          </w:p>
        </w:tc>
        <w:tc>
          <w:tcPr>
            <w:tcW w:w="1288" w:type="dxa"/>
            <w:tcBorders>
              <w:top w:val="single" w:sz="4" w:space="0" w:color="auto"/>
              <w:left w:val="single" w:sz="4" w:space="0" w:color="auto"/>
              <w:bottom w:val="single" w:sz="4" w:space="0" w:color="auto"/>
              <w:right w:val="single" w:sz="4" w:space="0" w:color="auto"/>
            </w:tcBorders>
            <w:hideMark/>
          </w:tcPr>
          <w:p w14:paraId="1F43D85F" w14:textId="77777777" w:rsidR="00F21A70" w:rsidRDefault="00F21A70" w:rsidP="00B50A79">
            <w:pPr>
              <w:spacing w:before="0"/>
              <w:rPr>
                <w:i/>
                <w:szCs w:val="24"/>
              </w:rPr>
            </w:pPr>
            <w:proofErr w:type="gramStart"/>
            <w:r>
              <w:rPr>
                <w:i/>
                <w:szCs w:val="24"/>
              </w:rPr>
              <w:t>I(</w:t>
            </w:r>
            <w:proofErr w:type="gramEnd"/>
            <w:r>
              <w:rPr>
                <w:i/>
                <w:szCs w:val="24"/>
              </w:rPr>
              <w:t xml:space="preserve">1) </w:t>
            </w:r>
          </w:p>
        </w:tc>
      </w:tr>
      <w:tr w:rsidR="00F21A70" w14:paraId="2C08581A"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42FD8F5C" w14:textId="77777777" w:rsidR="00F21A70" w:rsidRPr="005E27FE" w:rsidRDefault="00F21A70" w:rsidP="00B50A79">
            <w:pPr>
              <w:spacing w:before="0"/>
              <w:rPr>
                <w:b/>
                <w:szCs w:val="24"/>
              </w:rPr>
            </w:pPr>
            <w:r w:rsidRPr="005E27FE">
              <w:rPr>
                <w:b/>
                <w:szCs w:val="24"/>
              </w:rPr>
              <w:t>ROA</w:t>
            </w:r>
          </w:p>
        </w:tc>
        <w:tc>
          <w:tcPr>
            <w:tcW w:w="1288" w:type="dxa"/>
            <w:tcBorders>
              <w:top w:val="single" w:sz="4" w:space="0" w:color="auto"/>
              <w:left w:val="single" w:sz="4" w:space="0" w:color="auto"/>
              <w:bottom w:val="single" w:sz="4" w:space="0" w:color="auto"/>
              <w:right w:val="single" w:sz="4" w:space="0" w:color="auto"/>
            </w:tcBorders>
            <w:hideMark/>
          </w:tcPr>
          <w:p w14:paraId="14719AD6" w14:textId="77777777" w:rsidR="00F21A70" w:rsidRDefault="00F21A70" w:rsidP="00B50A79">
            <w:pPr>
              <w:spacing w:before="0"/>
              <w:rPr>
                <w:szCs w:val="24"/>
              </w:rPr>
            </w:pPr>
            <w:r>
              <w:rPr>
                <w:szCs w:val="24"/>
              </w:rPr>
              <w:t xml:space="preserve">-1.2911        </w:t>
            </w:r>
          </w:p>
        </w:tc>
        <w:tc>
          <w:tcPr>
            <w:tcW w:w="1288" w:type="dxa"/>
            <w:tcBorders>
              <w:top w:val="single" w:sz="4" w:space="0" w:color="auto"/>
              <w:left w:val="single" w:sz="4" w:space="0" w:color="auto"/>
              <w:bottom w:val="single" w:sz="4" w:space="0" w:color="auto"/>
              <w:right w:val="single" w:sz="4" w:space="0" w:color="auto"/>
            </w:tcBorders>
            <w:hideMark/>
          </w:tcPr>
          <w:p w14:paraId="654DB21F" w14:textId="77777777" w:rsidR="00F21A70" w:rsidRDefault="00F21A70" w:rsidP="00B50A79">
            <w:pPr>
              <w:spacing w:before="0"/>
              <w:rPr>
                <w:szCs w:val="24"/>
              </w:rPr>
            </w:pPr>
            <w:r>
              <w:rPr>
                <w:szCs w:val="24"/>
              </w:rPr>
              <w:t>0.0983</w:t>
            </w:r>
          </w:p>
        </w:tc>
        <w:tc>
          <w:tcPr>
            <w:tcW w:w="1288" w:type="dxa"/>
            <w:tcBorders>
              <w:top w:val="single" w:sz="4" w:space="0" w:color="auto"/>
              <w:left w:val="single" w:sz="4" w:space="0" w:color="auto"/>
              <w:bottom w:val="single" w:sz="4" w:space="0" w:color="auto"/>
              <w:right w:val="single" w:sz="4" w:space="0" w:color="auto"/>
            </w:tcBorders>
            <w:hideMark/>
          </w:tcPr>
          <w:p w14:paraId="70B739CF" w14:textId="77777777" w:rsidR="00F21A70" w:rsidRDefault="00F21A70" w:rsidP="00B50A79">
            <w:pPr>
              <w:spacing w:before="0"/>
              <w:rPr>
                <w:szCs w:val="24"/>
              </w:rPr>
            </w:pPr>
            <w:r>
              <w:rPr>
                <w:szCs w:val="24"/>
              </w:rPr>
              <w:t>Unit root</w:t>
            </w:r>
          </w:p>
        </w:tc>
        <w:tc>
          <w:tcPr>
            <w:tcW w:w="1288" w:type="dxa"/>
            <w:tcBorders>
              <w:top w:val="single" w:sz="4" w:space="0" w:color="auto"/>
              <w:left w:val="single" w:sz="4" w:space="0" w:color="auto"/>
              <w:bottom w:val="single" w:sz="4" w:space="0" w:color="auto"/>
              <w:right w:val="single" w:sz="4" w:space="0" w:color="auto"/>
            </w:tcBorders>
            <w:hideMark/>
          </w:tcPr>
          <w:p w14:paraId="40319F47" w14:textId="77777777" w:rsidR="00F21A70" w:rsidRDefault="00F21A70" w:rsidP="00B50A79">
            <w:pPr>
              <w:spacing w:before="0"/>
              <w:rPr>
                <w:rFonts w:asciiTheme="minorHAnsi" w:hAnsiTheme="minorHAnsi"/>
              </w:rPr>
            </w:pPr>
            <w:r>
              <w:t xml:space="preserve">-4.4443        </w:t>
            </w:r>
          </w:p>
        </w:tc>
        <w:tc>
          <w:tcPr>
            <w:tcW w:w="1288" w:type="dxa"/>
            <w:tcBorders>
              <w:top w:val="single" w:sz="4" w:space="0" w:color="auto"/>
              <w:left w:val="single" w:sz="4" w:space="0" w:color="auto"/>
              <w:bottom w:val="single" w:sz="4" w:space="0" w:color="auto"/>
              <w:right w:val="single" w:sz="4" w:space="0" w:color="auto"/>
            </w:tcBorders>
            <w:hideMark/>
          </w:tcPr>
          <w:p w14:paraId="4AB841FB" w14:textId="77777777" w:rsidR="00F21A70" w:rsidRDefault="00F21A70" w:rsidP="00B50A79">
            <w:pPr>
              <w:spacing w:before="0"/>
            </w:pPr>
            <w:r>
              <w:t>0.0000</w:t>
            </w:r>
          </w:p>
        </w:tc>
        <w:tc>
          <w:tcPr>
            <w:tcW w:w="1288" w:type="dxa"/>
            <w:tcBorders>
              <w:top w:val="single" w:sz="4" w:space="0" w:color="auto"/>
              <w:left w:val="single" w:sz="4" w:space="0" w:color="auto"/>
              <w:bottom w:val="single" w:sz="4" w:space="0" w:color="auto"/>
              <w:right w:val="single" w:sz="4" w:space="0" w:color="auto"/>
            </w:tcBorders>
            <w:hideMark/>
          </w:tcPr>
          <w:p w14:paraId="19C81633" w14:textId="77777777" w:rsidR="00F21A70" w:rsidRDefault="00F21A70" w:rsidP="00B50A79">
            <w:pPr>
              <w:spacing w:before="0"/>
              <w:rPr>
                <w:i/>
                <w:szCs w:val="24"/>
              </w:rPr>
            </w:pPr>
            <w:proofErr w:type="gramStart"/>
            <w:r>
              <w:rPr>
                <w:i/>
                <w:szCs w:val="24"/>
              </w:rPr>
              <w:t>I(</w:t>
            </w:r>
            <w:proofErr w:type="gramEnd"/>
            <w:r>
              <w:rPr>
                <w:i/>
                <w:szCs w:val="24"/>
              </w:rPr>
              <w:t>1)</w:t>
            </w:r>
          </w:p>
        </w:tc>
      </w:tr>
      <w:tr w:rsidR="00F21A70" w14:paraId="2DB7888E"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5728B26A" w14:textId="77777777" w:rsidR="00F21A70" w:rsidRPr="005E27FE" w:rsidRDefault="00F21A70" w:rsidP="00B50A79">
            <w:pPr>
              <w:spacing w:before="0"/>
              <w:rPr>
                <w:b/>
                <w:szCs w:val="24"/>
              </w:rPr>
            </w:pPr>
            <w:r w:rsidRPr="005E27FE">
              <w:rPr>
                <w:b/>
                <w:szCs w:val="24"/>
              </w:rPr>
              <w:t>CAP</w:t>
            </w:r>
          </w:p>
        </w:tc>
        <w:tc>
          <w:tcPr>
            <w:tcW w:w="1288" w:type="dxa"/>
            <w:tcBorders>
              <w:top w:val="single" w:sz="4" w:space="0" w:color="auto"/>
              <w:left w:val="single" w:sz="4" w:space="0" w:color="auto"/>
              <w:bottom w:val="single" w:sz="4" w:space="0" w:color="auto"/>
              <w:right w:val="single" w:sz="4" w:space="0" w:color="auto"/>
            </w:tcBorders>
            <w:hideMark/>
          </w:tcPr>
          <w:p w14:paraId="4F516599" w14:textId="77777777" w:rsidR="00F21A70" w:rsidRDefault="00F21A70" w:rsidP="00B50A79">
            <w:pPr>
              <w:spacing w:before="0"/>
              <w:rPr>
                <w:szCs w:val="24"/>
              </w:rPr>
            </w:pPr>
            <w:r>
              <w:rPr>
                <w:szCs w:val="24"/>
              </w:rPr>
              <w:t xml:space="preserve">-0.1314        </w:t>
            </w:r>
          </w:p>
        </w:tc>
        <w:tc>
          <w:tcPr>
            <w:tcW w:w="1288" w:type="dxa"/>
            <w:tcBorders>
              <w:top w:val="single" w:sz="4" w:space="0" w:color="auto"/>
              <w:left w:val="single" w:sz="4" w:space="0" w:color="auto"/>
              <w:bottom w:val="single" w:sz="4" w:space="0" w:color="auto"/>
              <w:right w:val="single" w:sz="4" w:space="0" w:color="auto"/>
            </w:tcBorders>
            <w:hideMark/>
          </w:tcPr>
          <w:p w14:paraId="00B3774D" w14:textId="77777777" w:rsidR="00F21A70" w:rsidRDefault="00F21A70" w:rsidP="00B50A79">
            <w:pPr>
              <w:spacing w:before="0"/>
              <w:rPr>
                <w:szCs w:val="24"/>
              </w:rPr>
            </w:pPr>
            <w:r>
              <w:rPr>
                <w:szCs w:val="24"/>
              </w:rPr>
              <w:t>0.4477</w:t>
            </w:r>
          </w:p>
        </w:tc>
        <w:tc>
          <w:tcPr>
            <w:tcW w:w="1288" w:type="dxa"/>
            <w:tcBorders>
              <w:top w:val="single" w:sz="4" w:space="0" w:color="auto"/>
              <w:left w:val="single" w:sz="4" w:space="0" w:color="auto"/>
              <w:bottom w:val="single" w:sz="4" w:space="0" w:color="auto"/>
              <w:right w:val="single" w:sz="4" w:space="0" w:color="auto"/>
            </w:tcBorders>
            <w:hideMark/>
          </w:tcPr>
          <w:p w14:paraId="7FF47AD8" w14:textId="77777777" w:rsidR="00F21A70" w:rsidRDefault="00F21A70" w:rsidP="00B50A79">
            <w:pPr>
              <w:spacing w:before="0"/>
              <w:rPr>
                <w:szCs w:val="24"/>
              </w:rPr>
            </w:pPr>
            <w:r>
              <w:rPr>
                <w:szCs w:val="24"/>
              </w:rPr>
              <w:t>Unit root</w:t>
            </w:r>
          </w:p>
        </w:tc>
        <w:tc>
          <w:tcPr>
            <w:tcW w:w="1288" w:type="dxa"/>
            <w:tcBorders>
              <w:top w:val="single" w:sz="4" w:space="0" w:color="auto"/>
              <w:left w:val="single" w:sz="4" w:space="0" w:color="auto"/>
              <w:bottom w:val="single" w:sz="4" w:space="0" w:color="auto"/>
              <w:right w:val="single" w:sz="4" w:space="0" w:color="auto"/>
            </w:tcBorders>
            <w:hideMark/>
          </w:tcPr>
          <w:p w14:paraId="6119A14F" w14:textId="77777777" w:rsidR="00F21A70" w:rsidRDefault="00F21A70" w:rsidP="00B50A79">
            <w:pPr>
              <w:spacing w:before="0"/>
              <w:rPr>
                <w:rFonts w:asciiTheme="minorHAnsi" w:hAnsiTheme="minorHAnsi"/>
              </w:rPr>
            </w:pPr>
            <w:r>
              <w:t xml:space="preserve">-4.2203        </w:t>
            </w:r>
          </w:p>
        </w:tc>
        <w:tc>
          <w:tcPr>
            <w:tcW w:w="1288" w:type="dxa"/>
            <w:tcBorders>
              <w:top w:val="single" w:sz="4" w:space="0" w:color="auto"/>
              <w:left w:val="single" w:sz="4" w:space="0" w:color="auto"/>
              <w:bottom w:val="single" w:sz="4" w:space="0" w:color="auto"/>
              <w:right w:val="single" w:sz="4" w:space="0" w:color="auto"/>
            </w:tcBorders>
            <w:hideMark/>
          </w:tcPr>
          <w:p w14:paraId="2F4E4E35" w14:textId="77777777" w:rsidR="00F21A70" w:rsidRDefault="00F21A70" w:rsidP="00B50A79">
            <w:pPr>
              <w:spacing w:before="0"/>
            </w:pPr>
            <w:r>
              <w:t>0.0000</w:t>
            </w:r>
          </w:p>
        </w:tc>
        <w:tc>
          <w:tcPr>
            <w:tcW w:w="1288" w:type="dxa"/>
            <w:tcBorders>
              <w:top w:val="single" w:sz="4" w:space="0" w:color="auto"/>
              <w:left w:val="single" w:sz="4" w:space="0" w:color="auto"/>
              <w:bottom w:val="single" w:sz="4" w:space="0" w:color="auto"/>
              <w:right w:val="single" w:sz="4" w:space="0" w:color="auto"/>
            </w:tcBorders>
            <w:hideMark/>
          </w:tcPr>
          <w:p w14:paraId="6A1B206B" w14:textId="77777777" w:rsidR="00F21A70" w:rsidRDefault="00F21A70" w:rsidP="00B50A79">
            <w:pPr>
              <w:spacing w:before="0"/>
              <w:rPr>
                <w:i/>
                <w:szCs w:val="24"/>
              </w:rPr>
            </w:pPr>
            <w:proofErr w:type="gramStart"/>
            <w:r>
              <w:rPr>
                <w:i/>
                <w:szCs w:val="24"/>
              </w:rPr>
              <w:t>I(</w:t>
            </w:r>
            <w:proofErr w:type="gramEnd"/>
            <w:r>
              <w:rPr>
                <w:i/>
                <w:szCs w:val="24"/>
              </w:rPr>
              <w:t>1)</w:t>
            </w:r>
          </w:p>
        </w:tc>
      </w:tr>
      <w:tr w:rsidR="00F21A70" w14:paraId="34B7D006"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74FE87B3" w14:textId="77777777" w:rsidR="00F21A70" w:rsidRPr="005E27FE" w:rsidRDefault="00F21A70" w:rsidP="00B50A79">
            <w:pPr>
              <w:spacing w:before="0"/>
              <w:rPr>
                <w:b/>
                <w:szCs w:val="24"/>
              </w:rPr>
            </w:pPr>
            <w:r w:rsidRPr="005E27FE">
              <w:rPr>
                <w:b/>
                <w:szCs w:val="24"/>
              </w:rPr>
              <w:t>CRE</w:t>
            </w:r>
          </w:p>
        </w:tc>
        <w:tc>
          <w:tcPr>
            <w:tcW w:w="1288" w:type="dxa"/>
            <w:tcBorders>
              <w:top w:val="single" w:sz="4" w:space="0" w:color="auto"/>
              <w:left w:val="single" w:sz="4" w:space="0" w:color="auto"/>
              <w:bottom w:val="single" w:sz="4" w:space="0" w:color="auto"/>
              <w:right w:val="single" w:sz="4" w:space="0" w:color="auto"/>
            </w:tcBorders>
            <w:hideMark/>
          </w:tcPr>
          <w:p w14:paraId="63A8CF3E" w14:textId="77777777" w:rsidR="00F21A70" w:rsidRDefault="00F21A70" w:rsidP="00B50A79">
            <w:pPr>
              <w:spacing w:before="0"/>
              <w:rPr>
                <w:szCs w:val="24"/>
              </w:rPr>
            </w:pPr>
            <w:r>
              <w:rPr>
                <w:szCs w:val="24"/>
              </w:rPr>
              <w:t xml:space="preserve">-1.4645        </w:t>
            </w:r>
          </w:p>
        </w:tc>
        <w:tc>
          <w:tcPr>
            <w:tcW w:w="1288" w:type="dxa"/>
            <w:tcBorders>
              <w:top w:val="single" w:sz="4" w:space="0" w:color="auto"/>
              <w:left w:val="single" w:sz="4" w:space="0" w:color="auto"/>
              <w:bottom w:val="single" w:sz="4" w:space="0" w:color="auto"/>
              <w:right w:val="single" w:sz="4" w:space="0" w:color="auto"/>
            </w:tcBorders>
            <w:hideMark/>
          </w:tcPr>
          <w:p w14:paraId="5E23690B" w14:textId="77777777" w:rsidR="00F21A70" w:rsidRDefault="00F21A70" w:rsidP="00B50A79">
            <w:pPr>
              <w:spacing w:before="0"/>
              <w:rPr>
                <w:szCs w:val="24"/>
              </w:rPr>
            </w:pPr>
            <w:r>
              <w:rPr>
                <w:szCs w:val="24"/>
              </w:rPr>
              <w:t>0.0715</w:t>
            </w:r>
          </w:p>
        </w:tc>
        <w:tc>
          <w:tcPr>
            <w:tcW w:w="1288" w:type="dxa"/>
            <w:tcBorders>
              <w:top w:val="single" w:sz="4" w:space="0" w:color="auto"/>
              <w:left w:val="single" w:sz="4" w:space="0" w:color="auto"/>
              <w:bottom w:val="single" w:sz="4" w:space="0" w:color="auto"/>
              <w:right w:val="single" w:sz="4" w:space="0" w:color="auto"/>
            </w:tcBorders>
            <w:hideMark/>
          </w:tcPr>
          <w:p w14:paraId="0F81BDF0" w14:textId="77777777" w:rsidR="00F21A70" w:rsidRDefault="00F21A70" w:rsidP="00B50A79">
            <w:pPr>
              <w:spacing w:before="0"/>
              <w:rPr>
                <w:szCs w:val="24"/>
              </w:rPr>
            </w:pPr>
            <w:r>
              <w:rPr>
                <w:szCs w:val="24"/>
              </w:rPr>
              <w:t>Unit root</w:t>
            </w:r>
          </w:p>
        </w:tc>
        <w:tc>
          <w:tcPr>
            <w:tcW w:w="1288" w:type="dxa"/>
            <w:tcBorders>
              <w:top w:val="single" w:sz="4" w:space="0" w:color="auto"/>
              <w:left w:val="single" w:sz="4" w:space="0" w:color="auto"/>
              <w:bottom w:val="single" w:sz="4" w:space="0" w:color="auto"/>
              <w:right w:val="single" w:sz="4" w:space="0" w:color="auto"/>
            </w:tcBorders>
            <w:hideMark/>
          </w:tcPr>
          <w:p w14:paraId="7F606C16" w14:textId="77777777" w:rsidR="00F21A70" w:rsidRDefault="00F21A70" w:rsidP="00B50A79">
            <w:pPr>
              <w:spacing w:before="0"/>
              <w:rPr>
                <w:rFonts w:asciiTheme="minorHAnsi" w:hAnsiTheme="minorHAnsi"/>
              </w:rPr>
            </w:pPr>
            <w:r>
              <w:t xml:space="preserve">-3.0601       </w:t>
            </w:r>
          </w:p>
        </w:tc>
        <w:tc>
          <w:tcPr>
            <w:tcW w:w="1288" w:type="dxa"/>
            <w:tcBorders>
              <w:top w:val="single" w:sz="4" w:space="0" w:color="auto"/>
              <w:left w:val="single" w:sz="4" w:space="0" w:color="auto"/>
              <w:bottom w:val="single" w:sz="4" w:space="0" w:color="auto"/>
              <w:right w:val="single" w:sz="4" w:space="0" w:color="auto"/>
            </w:tcBorders>
            <w:hideMark/>
          </w:tcPr>
          <w:p w14:paraId="311F8845" w14:textId="77777777" w:rsidR="00F21A70" w:rsidRDefault="00F21A70" w:rsidP="00B50A79">
            <w:pPr>
              <w:spacing w:before="0"/>
            </w:pPr>
            <w:r>
              <w:t>0.0011</w:t>
            </w:r>
          </w:p>
        </w:tc>
        <w:tc>
          <w:tcPr>
            <w:tcW w:w="1288" w:type="dxa"/>
            <w:tcBorders>
              <w:top w:val="single" w:sz="4" w:space="0" w:color="auto"/>
              <w:left w:val="single" w:sz="4" w:space="0" w:color="auto"/>
              <w:bottom w:val="single" w:sz="4" w:space="0" w:color="auto"/>
              <w:right w:val="single" w:sz="4" w:space="0" w:color="auto"/>
            </w:tcBorders>
            <w:hideMark/>
          </w:tcPr>
          <w:p w14:paraId="21BB97B5" w14:textId="77777777" w:rsidR="00F21A70" w:rsidRDefault="00F21A70" w:rsidP="00B50A79">
            <w:pPr>
              <w:spacing w:before="0"/>
              <w:rPr>
                <w:i/>
                <w:szCs w:val="24"/>
              </w:rPr>
            </w:pPr>
            <w:proofErr w:type="gramStart"/>
            <w:r>
              <w:rPr>
                <w:i/>
                <w:szCs w:val="24"/>
              </w:rPr>
              <w:t>I(</w:t>
            </w:r>
            <w:proofErr w:type="gramEnd"/>
            <w:r>
              <w:rPr>
                <w:i/>
                <w:szCs w:val="24"/>
              </w:rPr>
              <w:t>1)</w:t>
            </w:r>
          </w:p>
        </w:tc>
      </w:tr>
      <w:tr w:rsidR="00F21A70" w14:paraId="33BD0D5B"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0AB444C8" w14:textId="77777777" w:rsidR="00F21A70" w:rsidRPr="005E27FE" w:rsidRDefault="00F21A70" w:rsidP="00B50A79">
            <w:pPr>
              <w:spacing w:before="0"/>
              <w:rPr>
                <w:b/>
                <w:szCs w:val="24"/>
              </w:rPr>
            </w:pPr>
            <w:r w:rsidRPr="005E27FE">
              <w:rPr>
                <w:b/>
                <w:szCs w:val="24"/>
              </w:rPr>
              <w:t>CPI</w:t>
            </w:r>
          </w:p>
        </w:tc>
        <w:tc>
          <w:tcPr>
            <w:tcW w:w="1288" w:type="dxa"/>
            <w:tcBorders>
              <w:top w:val="single" w:sz="4" w:space="0" w:color="auto"/>
              <w:left w:val="single" w:sz="4" w:space="0" w:color="auto"/>
              <w:bottom w:val="single" w:sz="4" w:space="0" w:color="auto"/>
              <w:right w:val="single" w:sz="4" w:space="0" w:color="auto"/>
            </w:tcBorders>
            <w:hideMark/>
          </w:tcPr>
          <w:p w14:paraId="40BF74E3" w14:textId="77777777" w:rsidR="00F21A70" w:rsidRDefault="00F21A70" w:rsidP="00B50A79">
            <w:pPr>
              <w:spacing w:before="0"/>
              <w:rPr>
                <w:szCs w:val="24"/>
              </w:rPr>
            </w:pPr>
            <w:r>
              <w:rPr>
                <w:szCs w:val="24"/>
              </w:rPr>
              <w:t xml:space="preserve">-1.4481        </w:t>
            </w:r>
          </w:p>
        </w:tc>
        <w:tc>
          <w:tcPr>
            <w:tcW w:w="1288" w:type="dxa"/>
            <w:tcBorders>
              <w:top w:val="single" w:sz="4" w:space="0" w:color="auto"/>
              <w:left w:val="single" w:sz="4" w:space="0" w:color="auto"/>
              <w:bottom w:val="single" w:sz="4" w:space="0" w:color="auto"/>
              <w:right w:val="single" w:sz="4" w:space="0" w:color="auto"/>
            </w:tcBorders>
            <w:hideMark/>
          </w:tcPr>
          <w:p w14:paraId="0BF40634" w14:textId="77777777" w:rsidR="00F21A70" w:rsidRDefault="00F21A70" w:rsidP="00B50A79">
            <w:pPr>
              <w:spacing w:before="0"/>
              <w:rPr>
                <w:szCs w:val="24"/>
              </w:rPr>
            </w:pPr>
            <w:r>
              <w:rPr>
                <w:szCs w:val="24"/>
              </w:rPr>
              <w:t>0.0738</w:t>
            </w:r>
          </w:p>
        </w:tc>
        <w:tc>
          <w:tcPr>
            <w:tcW w:w="1288" w:type="dxa"/>
            <w:tcBorders>
              <w:top w:val="single" w:sz="4" w:space="0" w:color="auto"/>
              <w:left w:val="single" w:sz="4" w:space="0" w:color="auto"/>
              <w:bottom w:val="single" w:sz="4" w:space="0" w:color="auto"/>
              <w:right w:val="single" w:sz="4" w:space="0" w:color="auto"/>
            </w:tcBorders>
            <w:hideMark/>
          </w:tcPr>
          <w:p w14:paraId="2B9EB549" w14:textId="77777777" w:rsidR="00F21A70" w:rsidRDefault="00F21A70" w:rsidP="00B50A79">
            <w:pPr>
              <w:spacing w:before="0"/>
              <w:rPr>
                <w:szCs w:val="24"/>
              </w:rPr>
            </w:pPr>
            <w:r>
              <w:rPr>
                <w:szCs w:val="24"/>
              </w:rPr>
              <w:t>Unit root</w:t>
            </w:r>
          </w:p>
        </w:tc>
        <w:tc>
          <w:tcPr>
            <w:tcW w:w="1288" w:type="dxa"/>
            <w:tcBorders>
              <w:top w:val="single" w:sz="4" w:space="0" w:color="auto"/>
              <w:left w:val="single" w:sz="4" w:space="0" w:color="auto"/>
              <w:bottom w:val="single" w:sz="4" w:space="0" w:color="auto"/>
              <w:right w:val="single" w:sz="4" w:space="0" w:color="auto"/>
            </w:tcBorders>
            <w:hideMark/>
          </w:tcPr>
          <w:p w14:paraId="029D746F" w14:textId="77777777" w:rsidR="00F21A70" w:rsidRDefault="00F21A70" w:rsidP="00B50A79">
            <w:pPr>
              <w:spacing w:before="0"/>
              <w:rPr>
                <w:rFonts w:asciiTheme="minorHAnsi" w:hAnsiTheme="minorHAnsi"/>
              </w:rPr>
            </w:pPr>
            <w:r>
              <w:t xml:space="preserve">-7.7276        </w:t>
            </w:r>
          </w:p>
        </w:tc>
        <w:tc>
          <w:tcPr>
            <w:tcW w:w="1288" w:type="dxa"/>
            <w:tcBorders>
              <w:top w:val="single" w:sz="4" w:space="0" w:color="auto"/>
              <w:left w:val="single" w:sz="4" w:space="0" w:color="auto"/>
              <w:bottom w:val="single" w:sz="4" w:space="0" w:color="auto"/>
              <w:right w:val="single" w:sz="4" w:space="0" w:color="auto"/>
            </w:tcBorders>
            <w:hideMark/>
          </w:tcPr>
          <w:p w14:paraId="6D8881AA" w14:textId="77777777" w:rsidR="00F21A70" w:rsidRDefault="00F21A70" w:rsidP="00B50A79">
            <w:pPr>
              <w:spacing w:before="0"/>
            </w:pPr>
            <w:r>
              <w:t>0.0000</w:t>
            </w:r>
          </w:p>
        </w:tc>
        <w:tc>
          <w:tcPr>
            <w:tcW w:w="1288" w:type="dxa"/>
            <w:tcBorders>
              <w:top w:val="single" w:sz="4" w:space="0" w:color="auto"/>
              <w:left w:val="single" w:sz="4" w:space="0" w:color="auto"/>
              <w:bottom w:val="single" w:sz="4" w:space="0" w:color="auto"/>
              <w:right w:val="single" w:sz="4" w:space="0" w:color="auto"/>
            </w:tcBorders>
            <w:hideMark/>
          </w:tcPr>
          <w:p w14:paraId="28E35192" w14:textId="77777777" w:rsidR="00F21A70" w:rsidRDefault="00F21A70" w:rsidP="00B50A79">
            <w:pPr>
              <w:spacing w:before="0"/>
              <w:rPr>
                <w:i/>
                <w:szCs w:val="24"/>
              </w:rPr>
            </w:pPr>
            <w:proofErr w:type="gramStart"/>
            <w:r>
              <w:rPr>
                <w:i/>
                <w:szCs w:val="24"/>
              </w:rPr>
              <w:t>I(</w:t>
            </w:r>
            <w:proofErr w:type="gramEnd"/>
            <w:r>
              <w:rPr>
                <w:i/>
                <w:szCs w:val="24"/>
              </w:rPr>
              <w:t>1)</w:t>
            </w:r>
          </w:p>
        </w:tc>
      </w:tr>
      <w:tr w:rsidR="00F21A70" w14:paraId="4C68CFCF" w14:textId="77777777" w:rsidTr="00B50A79">
        <w:tc>
          <w:tcPr>
            <w:tcW w:w="1288" w:type="dxa"/>
            <w:tcBorders>
              <w:top w:val="single" w:sz="4" w:space="0" w:color="auto"/>
              <w:left w:val="single" w:sz="4" w:space="0" w:color="auto"/>
              <w:bottom w:val="single" w:sz="4" w:space="0" w:color="auto"/>
              <w:right w:val="single" w:sz="4" w:space="0" w:color="auto"/>
            </w:tcBorders>
            <w:hideMark/>
          </w:tcPr>
          <w:p w14:paraId="76B62230" w14:textId="77777777" w:rsidR="00F21A70" w:rsidRPr="005E27FE" w:rsidRDefault="00F21A70" w:rsidP="00B50A79">
            <w:pPr>
              <w:spacing w:before="0"/>
              <w:rPr>
                <w:b/>
                <w:szCs w:val="24"/>
              </w:rPr>
            </w:pPr>
            <w:r w:rsidRPr="005E27FE">
              <w:rPr>
                <w:b/>
                <w:szCs w:val="24"/>
              </w:rPr>
              <w:t>VOL</w:t>
            </w:r>
          </w:p>
        </w:tc>
        <w:tc>
          <w:tcPr>
            <w:tcW w:w="1288" w:type="dxa"/>
            <w:tcBorders>
              <w:top w:val="single" w:sz="4" w:space="0" w:color="auto"/>
              <w:left w:val="single" w:sz="4" w:space="0" w:color="auto"/>
              <w:bottom w:val="single" w:sz="4" w:space="0" w:color="auto"/>
              <w:right w:val="single" w:sz="4" w:space="0" w:color="auto"/>
            </w:tcBorders>
            <w:hideMark/>
          </w:tcPr>
          <w:p w14:paraId="444A8C3D" w14:textId="77777777" w:rsidR="00F21A70" w:rsidRDefault="00F21A70" w:rsidP="00B50A79">
            <w:pPr>
              <w:spacing w:before="0"/>
              <w:rPr>
                <w:szCs w:val="24"/>
              </w:rPr>
            </w:pPr>
            <w:r>
              <w:rPr>
                <w:szCs w:val="24"/>
              </w:rPr>
              <w:t xml:space="preserve">-3.5106        </w:t>
            </w:r>
          </w:p>
        </w:tc>
        <w:tc>
          <w:tcPr>
            <w:tcW w:w="1288" w:type="dxa"/>
            <w:tcBorders>
              <w:top w:val="single" w:sz="4" w:space="0" w:color="auto"/>
              <w:left w:val="single" w:sz="4" w:space="0" w:color="auto"/>
              <w:bottom w:val="single" w:sz="4" w:space="0" w:color="auto"/>
              <w:right w:val="single" w:sz="4" w:space="0" w:color="auto"/>
            </w:tcBorders>
            <w:hideMark/>
          </w:tcPr>
          <w:p w14:paraId="7AF2E349" w14:textId="77777777" w:rsidR="00F21A70" w:rsidRDefault="00F21A70" w:rsidP="00B50A79">
            <w:pPr>
              <w:spacing w:before="0"/>
              <w:rPr>
                <w:szCs w:val="24"/>
              </w:rPr>
            </w:pPr>
            <w:r>
              <w:rPr>
                <w:szCs w:val="24"/>
              </w:rPr>
              <w:t>0.0002</w:t>
            </w:r>
          </w:p>
        </w:tc>
        <w:tc>
          <w:tcPr>
            <w:tcW w:w="1288" w:type="dxa"/>
            <w:tcBorders>
              <w:top w:val="single" w:sz="4" w:space="0" w:color="auto"/>
              <w:left w:val="single" w:sz="4" w:space="0" w:color="auto"/>
              <w:bottom w:val="single" w:sz="4" w:space="0" w:color="auto"/>
              <w:right w:val="single" w:sz="4" w:space="0" w:color="auto"/>
            </w:tcBorders>
            <w:hideMark/>
          </w:tcPr>
          <w:p w14:paraId="530673A2" w14:textId="77777777" w:rsidR="00F21A70" w:rsidRDefault="00F21A70" w:rsidP="00B50A79">
            <w:pPr>
              <w:spacing w:before="0"/>
              <w:rPr>
                <w:szCs w:val="24"/>
              </w:rPr>
            </w:pPr>
            <w:r>
              <w:rPr>
                <w:szCs w:val="24"/>
              </w:rPr>
              <w:t>Stationary</w:t>
            </w:r>
          </w:p>
        </w:tc>
        <w:tc>
          <w:tcPr>
            <w:tcW w:w="1288" w:type="dxa"/>
            <w:tcBorders>
              <w:top w:val="single" w:sz="4" w:space="0" w:color="auto"/>
              <w:left w:val="single" w:sz="4" w:space="0" w:color="auto"/>
              <w:bottom w:val="single" w:sz="4" w:space="0" w:color="auto"/>
              <w:right w:val="single" w:sz="4" w:space="0" w:color="auto"/>
            </w:tcBorders>
            <w:hideMark/>
          </w:tcPr>
          <w:p w14:paraId="398F0177" w14:textId="77777777" w:rsidR="00F21A70" w:rsidRDefault="00F21A70" w:rsidP="00B50A79">
            <w:pPr>
              <w:spacing w:before="0"/>
              <w:rPr>
                <w:rFonts w:asciiTheme="minorHAnsi" w:hAnsiTheme="minorHAnsi"/>
              </w:rPr>
            </w:pPr>
            <w:r>
              <w:t xml:space="preserve">-8.9714        </w:t>
            </w:r>
          </w:p>
        </w:tc>
        <w:tc>
          <w:tcPr>
            <w:tcW w:w="1288" w:type="dxa"/>
            <w:tcBorders>
              <w:top w:val="single" w:sz="4" w:space="0" w:color="auto"/>
              <w:left w:val="single" w:sz="4" w:space="0" w:color="auto"/>
              <w:bottom w:val="single" w:sz="4" w:space="0" w:color="auto"/>
              <w:right w:val="single" w:sz="4" w:space="0" w:color="auto"/>
            </w:tcBorders>
            <w:hideMark/>
          </w:tcPr>
          <w:p w14:paraId="3E38167C" w14:textId="77777777" w:rsidR="00F21A70" w:rsidRDefault="00F21A70" w:rsidP="00B50A79">
            <w:pPr>
              <w:spacing w:before="0"/>
            </w:pPr>
            <w:r>
              <w:t>0.0000</w:t>
            </w:r>
          </w:p>
        </w:tc>
        <w:tc>
          <w:tcPr>
            <w:tcW w:w="1288" w:type="dxa"/>
            <w:tcBorders>
              <w:top w:val="single" w:sz="4" w:space="0" w:color="auto"/>
              <w:left w:val="single" w:sz="4" w:space="0" w:color="auto"/>
              <w:bottom w:val="single" w:sz="4" w:space="0" w:color="auto"/>
              <w:right w:val="single" w:sz="4" w:space="0" w:color="auto"/>
            </w:tcBorders>
            <w:hideMark/>
          </w:tcPr>
          <w:p w14:paraId="08C36E3D" w14:textId="77777777" w:rsidR="00F21A70" w:rsidRDefault="00F21A70" w:rsidP="00B50A79">
            <w:pPr>
              <w:spacing w:before="0"/>
              <w:rPr>
                <w:i/>
                <w:szCs w:val="24"/>
              </w:rPr>
            </w:pPr>
            <w:proofErr w:type="gramStart"/>
            <w:r>
              <w:rPr>
                <w:i/>
                <w:szCs w:val="24"/>
              </w:rPr>
              <w:t>I(</w:t>
            </w:r>
            <w:proofErr w:type="gramEnd"/>
            <w:r>
              <w:rPr>
                <w:i/>
                <w:szCs w:val="24"/>
              </w:rPr>
              <w:t>0)</w:t>
            </w:r>
          </w:p>
        </w:tc>
      </w:tr>
    </w:tbl>
    <w:p w14:paraId="6BF91422" w14:textId="77777777" w:rsidR="00F21A70" w:rsidRPr="00A547D6" w:rsidRDefault="00F21A70" w:rsidP="00F21A70">
      <w:pPr>
        <w:rPr>
          <w:b/>
        </w:rPr>
      </w:pPr>
      <w:r w:rsidRPr="00A547D6">
        <w:rPr>
          <w:b/>
        </w:rPr>
        <w:t>Source: Authors Compilation (2022)</w:t>
      </w:r>
    </w:p>
    <w:p w14:paraId="4D8657AF" w14:textId="77777777" w:rsidR="00F21A70" w:rsidRPr="007E0791" w:rsidRDefault="00F21A70" w:rsidP="00F21A70">
      <w:pPr>
        <w:rPr>
          <w:b/>
          <w:bCs/>
          <w:i/>
          <w:iCs/>
        </w:rPr>
      </w:pPr>
      <w:bookmarkStart w:id="11" w:name="_Toc119534080"/>
      <w:r w:rsidRPr="007E0791">
        <w:rPr>
          <w:b/>
          <w:bCs/>
          <w:i/>
          <w:iCs/>
        </w:rPr>
        <w:t>Exchange Rate Volatility in EAC</w:t>
      </w:r>
      <w:bookmarkEnd w:id="11"/>
    </w:p>
    <w:p w14:paraId="35DEADD1" w14:textId="24DC17F2" w:rsidR="00F21A70" w:rsidRDefault="00F21A70" w:rsidP="0061520D">
      <w:bookmarkStart w:id="12" w:name="_Toc118669923"/>
      <w:r w:rsidRPr="005777D1">
        <w:t xml:space="preserve">Table 2 estimates the volatility of the three countries' currency rates. Overall, the findings suggest that the coefficients </w:t>
      </w:r>
      <w:r>
        <w:t>of ARCH/</w:t>
      </w:r>
      <w:r w:rsidRPr="005777D1">
        <w:t xml:space="preserve">GARCH adequately </w:t>
      </w:r>
      <w:r>
        <w:t>incorporate</w:t>
      </w:r>
      <w:r w:rsidRPr="005777D1">
        <w:t xml:space="preserve"> the volatility of the currency rate in Uganda, Tanzania</w:t>
      </w:r>
      <w:r>
        <w:t>,</w:t>
      </w:r>
      <w:r w:rsidRPr="005777D1">
        <w:t xml:space="preserve"> and Kenya. </w:t>
      </w:r>
      <w:r>
        <w:t xml:space="preserve">Concerning Kenya, </w:t>
      </w:r>
      <w:r w:rsidRPr="005777D1">
        <w:t>Uganda</w:t>
      </w:r>
      <w:r w:rsidR="00097BFD">
        <w:t>,</w:t>
      </w:r>
      <w:r w:rsidRPr="005777D1">
        <w:t xml:space="preserve"> and Tanzania </w:t>
      </w:r>
      <w:r>
        <w:t xml:space="preserve">the volatility of the </w:t>
      </w:r>
      <w:r w:rsidRPr="005777D1">
        <w:t xml:space="preserve">exchange rate </w:t>
      </w:r>
      <w:r>
        <w:t>was</w:t>
      </w:r>
      <w:r w:rsidRPr="005777D1">
        <w:t xml:space="preserve"> calculated using the GARCH (1, 1) specification after minimizing the Akaike information criteria (AIC) and Schwarz information criterion (SIC). </w:t>
      </w:r>
      <w:r>
        <w:t>Furthermore</w:t>
      </w:r>
      <w:r w:rsidRPr="005777D1">
        <w:t>, Tanzania's currency rate volatility, which was statistically significant at 5</w:t>
      </w:r>
      <w:r>
        <w:t xml:space="preserve"> percent</w:t>
      </w:r>
      <w:r w:rsidRPr="005777D1">
        <w:t xml:space="preserve">, was caused by the last variance (the GARCH component). Uganda's currency rate </w:t>
      </w:r>
      <w:r>
        <w:t>fluctuations</w:t>
      </w:r>
      <w:r w:rsidRPr="005777D1">
        <w:t>, which was 5</w:t>
      </w:r>
      <w:r>
        <w:t xml:space="preserve"> percent and 1 percent significance level</w:t>
      </w:r>
      <w:r w:rsidRPr="005777D1">
        <w:t>, respectively, was significantly influenced by the departure from the mean (ARCH component) and the final variance.</w:t>
      </w:r>
    </w:p>
    <w:p w14:paraId="0746BC03" w14:textId="6A118547" w:rsidR="00F21A70" w:rsidRDefault="00F21A70" w:rsidP="0061520D"/>
    <w:p w14:paraId="3D32E8C8" w14:textId="65192163" w:rsidR="00F21A70" w:rsidRDefault="00F21A70" w:rsidP="00F21A70"/>
    <w:p w14:paraId="1022BFEA" w14:textId="77777777" w:rsidR="00F21A70" w:rsidRPr="005777D1" w:rsidRDefault="00F21A70" w:rsidP="00F21A70">
      <w:pPr>
        <w:rPr>
          <w:i/>
          <w:iCs/>
        </w:rPr>
      </w:pPr>
    </w:p>
    <w:p w14:paraId="3ABEEB37" w14:textId="77777777" w:rsidR="00F21A70" w:rsidRPr="005D696E" w:rsidRDefault="00F21A70" w:rsidP="00F21A70">
      <w:pPr>
        <w:rPr>
          <w:b/>
          <w:bCs/>
          <w:i/>
        </w:rPr>
      </w:pPr>
      <w:r w:rsidRPr="005D696E">
        <w:rPr>
          <w:b/>
          <w:bCs/>
        </w:rPr>
        <w:lastRenderedPageBreak/>
        <w:t xml:space="preserve">Table </w:t>
      </w:r>
      <w:r w:rsidRPr="005D696E">
        <w:rPr>
          <w:b/>
          <w:bCs/>
          <w:i/>
        </w:rPr>
        <w:fldChar w:fldCharType="begin"/>
      </w:r>
      <w:r w:rsidRPr="005D696E">
        <w:rPr>
          <w:b/>
          <w:bCs/>
        </w:rPr>
        <w:instrText xml:space="preserve"> SEQ Table \* ARABIC \s 1 </w:instrText>
      </w:r>
      <w:r w:rsidRPr="005D696E">
        <w:rPr>
          <w:b/>
          <w:bCs/>
          <w:i/>
        </w:rPr>
        <w:fldChar w:fldCharType="separate"/>
      </w:r>
      <w:r w:rsidRPr="005D696E">
        <w:rPr>
          <w:b/>
          <w:bCs/>
          <w:noProof/>
        </w:rPr>
        <w:t>2</w:t>
      </w:r>
      <w:r w:rsidRPr="005D696E">
        <w:rPr>
          <w:b/>
          <w:bCs/>
          <w:i/>
        </w:rPr>
        <w:fldChar w:fldCharType="end"/>
      </w:r>
      <w:r w:rsidRPr="005D696E">
        <w:rPr>
          <w:b/>
          <w:bCs/>
          <w:i/>
        </w:rPr>
        <w:t>:</w:t>
      </w:r>
      <w:r w:rsidRPr="005D696E">
        <w:rPr>
          <w:b/>
          <w:bCs/>
        </w:rPr>
        <w:t xml:space="preserve"> Exchange Rate Volatility Estimation Results </w:t>
      </w:r>
      <w:bookmarkEnd w:id="12"/>
    </w:p>
    <w:tbl>
      <w:tblPr>
        <w:tblStyle w:val="TableGrid"/>
        <w:tblW w:w="8981" w:type="dxa"/>
        <w:tblLook w:val="04A0" w:firstRow="1" w:lastRow="0" w:firstColumn="1" w:lastColumn="0" w:noHBand="0" w:noVBand="1"/>
      </w:tblPr>
      <w:tblGrid>
        <w:gridCol w:w="1885"/>
        <w:gridCol w:w="1823"/>
        <w:gridCol w:w="1760"/>
        <w:gridCol w:w="1840"/>
        <w:gridCol w:w="1673"/>
      </w:tblGrid>
      <w:tr w:rsidR="00F21A70" w:rsidRPr="004E3312" w14:paraId="41D3148E" w14:textId="77777777" w:rsidTr="00B50A79">
        <w:tc>
          <w:tcPr>
            <w:tcW w:w="1885" w:type="dxa"/>
            <w:tcBorders>
              <w:top w:val="single" w:sz="4" w:space="0" w:color="auto"/>
              <w:left w:val="single" w:sz="4" w:space="0" w:color="auto"/>
              <w:bottom w:val="single" w:sz="4" w:space="0" w:color="auto"/>
              <w:right w:val="single" w:sz="4" w:space="0" w:color="auto"/>
            </w:tcBorders>
            <w:hideMark/>
          </w:tcPr>
          <w:p w14:paraId="495270FA" w14:textId="77777777" w:rsidR="00F21A70" w:rsidRPr="004E3312" w:rsidRDefault="00F21A70" w:rsidP="00B50A79">
            <w:pPr>
              <w:spacing w:before="0"/>
              <w:rPr>
                <w:szCs w:val="24"/>
              </w:rPr>
            </w:pPr>
            <w:r w:rsidRPr="004E3312">
              <w:rPr>
                <w:szCs w:val="24"/>
              </w:rPr>
              <w:t xml:space="preserve">Country </w:t>
            </w:r>
          </w:p>
        </w:tc>
        <w:tc>
          <w:tcPr>
            <w:tcW w:w="1823" w:type="dxa"/>
            <w:tcBorders>
              <w:top w:val="single" w:sz="4" w:space="0" w:color="auto"/>
              <w:left w:val="single" w:sz="4" w:space="0" w:color="auto"/>
              <w:bottom w:val="single" w:sz="4" w:space="0" w:color="auto"/>
              <w:right w:val="single" w:sz="4" w:space="0" w:color="auto"/>
            </w:tcBorders>
            <w:vAlign w:val="bottom"/>
            <w:hideMark/>
          </w:tcPr>
          <w:p w14:paraId="7AC4F20C" w14:textId="77777777" w:rsidR="00F21A70" w:rsidRPr="004E3312" w:rsidRDefault="00F21A70" w:rsidP="00B50A79">
            <w:pPr>
              <w:spacing w:before="0"/>
              <w:rPr>
                <w:color w:val="000000"/>
                <w:szCs w:val="24"/>
              </w:rPr>
            </w:pPr>
            <w:r w:rsidRPr="004E3312">
              <w:rPr>
                <w:color w:val="000000"/>
                <w:szCs w:val="24"/>
              </w:rPr>
              <w:t>Variable</w:t>
            </w:r>
          </w:p>
        </w:tc>
        <w:tc>
          <w:tcPr>
            <w:tcW w:w="1760" w:type="dxa"/>
            <w:tcBorders>
              <w:top w:val="single" w:sz="4" w:space="0" w:color="auto"/>
              <w:left w:val="single" w:sz="4" w:space="0" w:color="auto"/>
              <w:bottom w:val="single" w:sz="4" w:space="0" w:color="auto"/>
              <w:right w:val="single" w:sz="4" w:space="0" w:color="auto"/>
            </w:tcBorders>
            <w:vAlign w:val="bottom"/>
            <w:hideMark/>
          </w:tcPr>
          <w:p w14:paraId="70869E48" w14:textId="77777777" w:rsidR="00F21A70" w:rsidRPr="004E3312" w:rsidRDefault="00F21A70" w:rsidP="00B50A79">
            <w:pPr>
              <w:spacing w:before="0"/>
              <w:rPr>
                <w:color w:val="000000"/>
                <w:szCs w:val="24"/>
              </w:rPr>
            </w:pPr>
            <w:r w:rsidRPr="004E3312">
              <w:rPr>
                <w:color w:val="000000"/>
                <w:szCs w:val="24"/>
              </w:rPr>
              <w:t>Coeff</w:t>
            </w:r>
          </w:p>
        </w:tc>
        <w:tc>
          <w:tcPr>
            <w:tcW w:w="1840" w:type="dxa"/>
            <w:tcBorders>
              <w:top w:val="single" w:sz="4" w:space="0" w:color="auto"/>
              <w:left w:val="single" w:sz="4" w:space="0" w:color="auto"/>
              <w:bottom w:val="single" w:sz="4" w:space="0" w:color="auto"/>
              <w:right w:val="single" w:sz="4" w:space="0" w:color="auto"/>
            </w:tcBorders>
            <w:vAlign w:val="bottom"/>
            <w:hideMark/>
          </w:tcPr>
          <w:p w14:paraId="77732DF5" w14:textId="77777777" w:rsidR="00F21A70" w:rsidRPr="004E3312" w:rsidRDefault="00F21A70" w:rsidP="00B50A79">
            <w:pPr>
              <w:spacing w:before="0"/>
              <w:rPr>
                <w:color w:val="000000"/>
                <w:szCs w:val="24"/>
              </w:rPr>
            </w:pPr>
            <w:r>
              <w:rPr>
                <w:color w:val="000000"/>
                <w:szCs w:val="24"/>
              </w:rPr>
              <w:t>SE</w:t>
            </w:r>
          </w:p>
        </w:tc>
        <w:tc>
          <w:tcPr>
            <w:tcW w:w="1673" w:type="dxa"/>
            <w:tcBorders>
              <w:top w:val="single" w:sz="4" w:space="0" w:color="auto"/>
              <w:left w:val="single" w:sz="4" w:space="0" w:color="auto"/>
              <w:bottom w:val="single" w:sz="4" w:space="0" w:color="auto"/>
              <w:right w:val="single" w:sz="4" w:space="0" w:color="auto"/>
            </w:tcBorders>
            <w:vAlign w:val="bottom"/>
            <w:hideMark/>
          </w:tcPr>
          <w:p w14:paraId="18B70F4F" w14:textId="77777777" w:rsidR="00F21A70" w:rsidRPr="004E3312" w:rsidRDefault="00F21A70" w:rsidP="00B50A79">
            <w:pPr>
              <w:spacing w:before="0"/>
              <w:rPr>
                <w:color w:val="000000"/>
                <w:szCs w:val="24"/>
              </w:rPr>
            </w:pPr>
            <w:r w:rsidRPr="004E3312">
              <w:rPr>
                <w:color w:val="000000"/>
                <w:szCs w:val="24"/>
              </w:rPr>
              <w:t>z-Stat</w:t>
            </w:r>
          </w:p>
        </w:tc>
      </w:tr>
      <w:tr w:rsidR="00F21A70" w:rsidRPr="004E3312" w14:paraId="6CCD81D4" w14:textId="77777777" w:rsidTr="00B50A79">
        <w:tc>
          <w:tcPr>
            <w:tcW w:w="1885" w:type="dxa"/>
            <w:tcBorders>
              <w:top w:val="single" w:sz="4" w:space="0" w:color="auto"/>
              <w:left w:val="single" w:sz="4" w:space="0" w:color="auto"/>
              <w:bottom w:val="single" w:sz="4" w:space="0" w:color="auto"/>
              <w:right w:val="single" w:sz="4" w:space="0" w:color="auto"/>
            </w:tcBorders>
            <w:hideMark/>
          </w:tcPr>
          <w:p w14:paraId="59C850AB" w14:textId="77777777" w:rsidR="00F21A70" w:rsidRPr="004E3312" w:rsidRDefault="00F21A70" w:rsidP="00B50A79">
            <w:pPr>
              <w:spacing w:before="0"/>
              <w:rPr>
                <w:szCs w:val="24"/>
              </w:rPr>
            </w:pPr>
            <w:r w:rsidRPr="004E3312">
              <w:rPr>
                <w:szCs w:val="24"/>
              </w:rPr>
              <w:t xml:space="preserve">Kenya </w:t>
            </w:r>
          </w:p>
        </w:tc>
        <w:tc>
          <w:tcPr>
            <w:tcW w:w="1823" w:type="dxa"/>
            <w:tcBorders>
              <w:top w:val="single" w:sz="4" w:space="0" w:color="auto"/>
              <w:left w:val="single" w:sz="4" w:space="0" w:color="auto"/>
              <w:bottom w:val="single" w:sz="4" w:space="0" w:color="auto"/>
              <w:right w:val="single" w:sz="4" w:space="0" w:color="auto"/>
            </w:tcBorders>
            <w:vAlign w:val="bottom"/>
            <w:hideMark/>
          </w:tcPr>
          <w:p w14:paraId="74CB9C17" w14:textId="77777777" w:rsidR="00F21A70" w:rsidRPr="004E3312" w:rsidRDefault="00F21A70" w:rsidP="00B50A79">
            <w:pPr>
              <w:spacing w:before="0"/>
              <w:rPr>
                <w:color w:val="000000"/>
                <w:szCs w:val="24"/>
              </w:rPr>
            </w:pPr>
            <w:r w:rsidRPr="004E3312">
              <w:rPr>
                <w:color w:val="000000"/>
                <w:szCs w:val="24"/>
              </w:rPr>
              <w:t>0.416979</w:t>
            </w:r>
          </w:p>
        </w:tc>
        <w:tc>
          <w:tcPr>
            <w:tcW w:w="1760" w:type="dxa"/>
            <w:tcBorders>
              <w:top w:val="single" w:sz="4" w:space="0" w:color="auto"/>
              <w:left w:val="single" w:sz="4" w:space="0" w:color="auto"/>
              <w:bottom w:val="single" w:sz="4" w:space="0" w:color="auto"/>
              <w:right w:val="single" w:sz="4" w:space="0" w:color="auto"/>
            </w:tcBorders>
            <w:vAlign w:val="bottom"/>
            <w:hideMark/>
          </w:tcPr>
          <w:p w14:paraId="423014BE" w14:textId="77777777" w:rsidR="00F21A70" w:rsidRPr="004E3312" w:rsidRDefault="00F21A70" w:rsidP="00B50A79">
            <w:pPr>
              <w:spacing w:before="0"/>
              <w:rPr>
                <w:color w:val="000000"/>
                <w:szCs w:val="24"/>
              </w:rPr>
            </w:pPr>
            <w:r w:rsidRPr="004E3312">
              <w:rPr>
                <w:color w:val="000000"/>
                <w:szCs w:val="24"/>
              </w:rPr>
              <w:t>0.078286</w:t>
            </w:r>
          </w:p>
        </w:tc>
        <w:tc>
          <w:tcPr>
            <w:tcW w:w="1840" w:type="dxa"/>
            <w:tcBorders>
              <w:top w:val="single" w:sz="4" w:space="0" w:color="auto"/>
              <w:left w:val="single" w:sz="4" w:space="0" w:color="auto"/>
              <w:bottom w:val="single" w:sz="4" w:space="0" w:color="auto"/>
              <w:right w:val="single" w:sz="4" w:space="0" w:color="auto"/>
            </w:tcBorders>
            <w:vAlign w:val="bottom"/>
            <w:hideMark/>
          </w:tcPr>
          <w:p w14:paraId="49989690" w14:textId="77777777" w:rsidR="00F21A70" w:rsidRPr="004E3312" w:rsidRDefault="00F21A70" w:rsidP="00B50A79">
            <w:pPr>
              <w:spacing w:before="0"/>
              <w:rPr>
                <w:color w:val="000000"/>
                <w:szCs w:val="24"/>
              </w:rPr>
            </w:pPr>
            <w:r w:rsidRPr="004E3312">
              <w:rPr>
                <w:color w:val="000000"/>
                <w:szCs w:val="24"/>
              </w:rPr>
              <w:t>5.326372</w:t>
            </w:r>
          </w:p>
        </w:tc>
        <w:tc>
          <w:tcPr>
            <w:tcW w:w="1673" w:type="dxa"/>
            <w:tcBorders>
              <w:top w:val="single" w:sz="4" w:space="0" w:color="auto"/>
              <w:left w:val="single" w:sz="4" w:space="0" w:color="auto"/>
              <w:bottom w:val="single" w:sz="4" w:space="0" w:color="auto"/>
              <w:right w:val="single" w:sz="4" w:space="0" w:color="auto"/>
            </w:tcBorders>
            <w:vAlign w:val="bottom"/>
            <w:hideMark/>
          </w:tcPr>
          <w:p w14:paraId="7DD4EE79" w14:textId="77777777" w:rsidR="00F21A70" w:rsidRPr="004E3312" w:rsidRDefault="00F21A70" w:rsidP="00B50A79">
            <w:pPr>
              <w:spacing w:before="0"/>
              <w:rPr>
                <w:color w:val="000000"/>
                <w:szCs w:val="24"/>
              </w:rPr>
            </w:pPr>
            <w:r w:rsidRPr="004E3312">
              <w:rPr>
                <w:color w:val="000000"/>
                <w:szCs w:val="24"/>
              </w:rPr>
              <w:t>0.0000</w:t>
            </w:r>
          </w:p>
        </w:tc>
      </w:tr>
      <w:tr w:rsidR="00F21A70" w:rsidRPr="004E3312" w14:paraId="1D26EACA" w14:textId="77777777" w:rsidTr="00B50A79">
        <w:tc>
          <w:tcPr>
            <w:tcW w:w="1885" w:type="dxa"/>
            <w:tcBorders>
              <w:top w:val="single" w:sz="4" w:space="0" w:color="auto"/>
              <w:left w:val="single" w:sz="4" w:space="0" w:color="auto"/>
              <w:bottom w:val="single" w:sz="4" w:space="0" w:color="auto"/>
              <w:right w:val="single" w:sz="4" w:space="0" w:color="auto"/>
            </w:tcBorders>
          </w:tcPr>
          <w:p w14:paraId="22FA952F"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hideMark/>
          </w:tcPr>
          <w:p w14:paraId="0239E699" w14:textId="77777777" w:rsidR="00F21A70" w:rsidRPr="004E3312" w:rsidRDefault="00F21A70" w:rsidP="00B50A79">
            <w:pPr>
              <w:spacing w:before="0"/>
              <w:rPr>
                <w:color w:val="000000"/>
                <w:szCs w:val="24"/>
              </w:rPr>
            </w:pPr>
            <w:r w:rsidRPr="004E3312">
              <w:rPr>
                <w:color w:val="000000"/>
                <w:szCs w:val="24"/>
              </w:rPr>
              <w:t>0.790756</w:t>
            </w:r>
          </w:p>
        </w:tc>
        <w:tc>
          <w:tcPr>
            <w:tcW w:w="1760" w:type="dxa"/>
            <w:tcBorders>
              <w:top w:val="single" w:sz="4" w:space="0" w:color="auto"/>
              <w:left w:val="single" w:sz="4" w:space="0" w:color="auto"/>
              <w:bottom w:val="single" w:sz="4" w:space="0" w:color="auto"/>
              <w:right w:val="single" w:sz="4" w:space="0" w:color="auto"/>
            </w:tcBorders>
            <w:vAlign w:val="bottom"/>
            <w:hideMark/>
          </w:tcPr>
          <w:p w14:paraId="025029BE" w14:textId="77777777" w:rsidR="00F21A70" w:rsidRPr="004E3312" w:rsidRDefault="00F21A70" w:rsidP="00B50A79">
            <w:pPr>
              <w:spacing w:before="0"/>
              <w:rPr>
                <w:color w:val="000000"/>
                <w:szCs w:val="24"/>
              </w:rPr>
            </w:pPr>
            <w:r w:rsidRPr="004E3312">
              <w:rPr>
                <w:color w:val="000000"/>
                <w:szCs w:val="24"/>
              </w:rPr>
              <w:t>0.134428</w:t>
            </w:r>
          </w:p>
        </w:tc>
        <w:tc>
          <w:tcPr>
            <w:tcW w:w="1840" w:type="dxa"/>
            <w:tcBorders>
              <w:top w:val="single" w:sz="4" w:space="0" w:color="auto"/>
              <w:left w:val="single" w:sz="4" w:space="0" w:color="auto"/>
              <w:bottom w:val="single" w:sz="4" w:space="0" w:color="auto"/>
              <w:right w:val="single" w:sz="4" w:space="0" w:color="auto"/>
            </w:tcBorders>
            <w:vAlign w:val="bottom"/>
            <w:hideMark/>
          </w:tcPr>
          <w:p w14:paraId="585E0D4E" w14:textId="77777777" w:rsidR="00F21A70" w:rsidRPr="004E3312" w:rsidRDefault="00F21A70" w:rsidP="00B50A79">
            <w:pPr>
              <w:spacing w:before="0"/>
              <w:rPr>
                <w:color w:val="000000"/>
                <w:szCs w:val="24"/>
              </w:rPr>
            </w:pPr>
            <w:r w:rsidRPr="004E3312">
              <w:rPr>
                <w:color w:val="000000"/>
                <w:szCs w:val="24"/>
              </w:rPr>
              <w:t>5.882372</w:t>
            </w:r>
          </w:p>
        </w:tc>
        <w:tc>
          <w:tcPr>
            <w:tcW w:w="1673" w:type="dxa"/>
            <w:tcBorders>
              <w:top w:val="single" w:sz="4" w:space="0" w:color="auto"/>
              <w:left w:val="single" w:sz="4" w:space="0" w:color="auto"/>
              <w:bottom w:val="single" w:sz="4" w:space="0" w:color="auto"/>
              <w:right w:val="single" w:sz="4" w:space="0" w:color="auto"/>
            </w:tcBorders>
            <w:vAlign w:val="bottom"/>
            <w:hideMark/>
          </w:tcPr>
          <w:p w14:paraId="2B314B6A" w14:textId="77777777" w:rsidR="00F21A70" w:rsidRPr="004E3312" w:rsidRDefault="00F21A70" w:rsidP="00B50A79">
            <w:pPr>
              <w:spacing w:before="0"/>
              <w:rPr>
                <w:color w:val="000000"/>
                <w:szCs w:val="24"/>
              </w:rPr>
            </w:pPr>
            <w:r w:rsidRPr="004E3312">
              <w:rPr>
                <w:color w:val="000000"/>
                <w:szCs w:val="24"/>
              </w:rPr>
              <w:t>0.0000</w:t>
            </w:r>
          </w:p>
        </w:tc>
      </w:tr>
      <w:tr w:rsidR="00F21A70" w:rsidRPr="004E3312" w14:paraId="712D01CD" w14:textId="77777777" w:rsidTr="00B50A79">
        <w:tc>
          <w:tcPr>
            <w:tcW w:w="1885" w:type="dxa"/>
            <w:tcBorders>
              <w:top w:val="single" w:sz="4" w:space="0" w:color="auto"/>
              <w:left w:val="single" w:sz="4" w:space="0" w:color="auto"/>
              <w:bottom w:val="single" w:sz="4" w:space="0" w:color="auto"/>
              <w:right w:val="single" w:sz="4" w:space="0" w:color="auto"/>
            </w:tcBorders>
          </w:tcPr>
          <w:p w14:paraId="790A1395"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hideMark/>
          </w:tcPr>
          <w:p w14:paraId="129E30EB" w14:textId="77777777" w:rsidR="00F21A70" w:rsidRPr="004E3312" w:rsidRDefault="00F21A70" w:rsidP="00B50A79">
            <w:pPr>
              <w:spacing w:before="0"/>
              <w:rPr>
                <w:color w:val="000000"/>
                <w:szCs w:val="24"/>
              </w:rPr>
            </w:pPr>
            <w:r w:rsidRPr="004E3312">
              <w:rPr>
                <w:color w:val="000000"/>
                <w:szCs w:val="24"/>
              </w:rPr>
              <w:t>0.178128</w:t>
            </w:r>
          </w:p>
        </w:tc>
        <w:tc>
          <w:tcPr>
            <w:tcW w:w="1760" w:type="dxa"/>
            <w:tcBorders>
              <w:top w:val="single" w:sz="4" w:space="0" w:color="auto"/>
              <w:left w:val="single" w:sz="4" w:space="0" w:color="auto"/>
              <w:bottom w:val="single" w:sz="4" w:space="0" w:color="auto"/>
              <w:right w:val="single" w:sz="4" w:space="0" w:color="auto"/>
            </w:tcBorders>
            <w:vAlign w:val="bottom"/>
            <w:hideMark/>
          </w:tcPr>
          <w:p w14:paraId="59C76F87" w14:textId="77777777" w:rsidR="00F21A70" w:rsidRPr="004E3312" w:rsidRDefault="00F21A70" w:rsidP="00B50A79">
            <w:pPr>
              <w:spacing w:before="0"/>
              <w:rPr>
                <w:color w:val="000000"/>
                <w:szCs w:val="24"/>
              </w:rPr>
            </w:pPr>
            <w:r w:rsidRPr="004E3312">
              <w:rPr>
                <w:color w:val="000000"/>
                <w:szCs w:val="24"/>
              </w:rPr>
              <w:t>0.083531</w:t>
            </w:r>
          </w:p>
        </w:tc>
        <w:tc>
          <w:tcPr>
            <w:tcW w:w="1840" w:type="dxa"/>
            <w:tcBorders>
              <w:top w:val="single" w:sz="4" w:space="0" w:color="auto"/>
              <w:left w:val="single" w:sz="4" w:space="0" w:color="auto"/>
              <w:bottom w:val="single" w:sz="4" w:space="0" w:color="auto"/>
              <w:right w:val="single" w:sz="4" w:space="0" w:color="auto"/>
            </w:tcBorders>
            <w:vAlign w:val="bottom"/>
            <w:hideMark/>
          </w:tcPr>
          <w:p w14:paraId="530E64CF" w14:textId="77777777" w:rsidR="00F21A70" w:rsidRPr="004E3312" w:rsidRDefault="00F21A70" w:rsidP="00B50A79">
            <w:pPr>
              <w:spacing w:before="0"/>
              <w:rPr>
                <w:color w:val="000000"/>
                <w:szCs w:val="24"/>
              </w:rPr>
            </w:pPr>
            <w:r w:rsidRPr="004E3312">
              <w:rPr>
                <w:color w:val="000000"/>
                <w:szCs w:val="24"/>
              </w:rPr>
              <w:t>2.132481</w:t>
            </w:r>
          </w:p>
        </w:tc>
        <w:tc>
          <w:tcPr>
            <w:tcW w:w="1673" w:type="dxa"/>
            <w:tcBorders>
              <w:top w:val="single" w:sz="4" w:space="0" w:color="auto"/>
              <w:left w:val="single" w:sz="4" w:space="0" w:color="auto"/>
              <w:bottom w:val="single" w:sz="4" w:space="0" w:color="auto"/>
              <w:right w:val="single" w:sz="4" w:space="0" w:color="auto"/>
            </w:tcBorders>
            <w:vAlign w:val="bottom"/>
            <w:hideMark/>
          </w:tcPr>
          <w:p w14:paraId="6A3E4013" w14:textId="77777777" w:rsidR="00F21A70" w:rsidRPr="004E3312" w:rsidRDefault="00F21A70" w:rsidP="00B50A79">
            <w:pPr>
              <w:spacing w:before="0"/>
              <w:rPr>
                <w:color w:val="000000"/>
                <w:szCs w:val="24"/>
              </w:rPr>
            </w:pPr>
            <w:r w:rsidRPr="004E3312">
              <w:rPr>
                <w:color w:val="000000"/>
                <w:szCs w:val="24"/>
              </w:rPr>
              <w:t>0.0330</w:t>
            </w:r>
          </w:p>
        </w:tc>
      </w:tr>
      <w:tr w:rsidR="00F21A70" w:rsidRPr="004E3312" w14:paraId="6D12D336" w14:textId="77777777" w:rsidTr="00B50A79">
        <w:trPr>
          <w:trHeight w:val="197"/>
        </w:trPr>
        <w:tc>
          <w:tcPr>
            <w:tcW w:w="1885" w:type="dxa"/>
            <w:tcBorders>
              <w:top w:val="single" w:sz="4" w:space="0" w:color="auto"/>
              <w:left w:val="single" w:sz="4" w:space="0" w:color="auto"/>
              <w:bottom w:val="single" w:sz="4" w:space="0" w:color="auto"/>
              <w:right w:val="single" w:sz="4" w:space="0" w:color="auto"/>
            </w:tcBorders>
          </w:tcPr>
          <w:p w14:paraId="66AAFAB3"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tcPr>
          <w:p w14:paraId="48608E27" w14:textId="77777777" w:rsidR="00F21A70" w:rsidRPr="004E3312" w:rsidRDefault="00F21A70" w:rsidP="00B50A79">
            <w:pPr>
              <w:spacing w:before="0"/>
              <w:rPr>
                <w:szCs w:val="24"/>
              </w:rPr>
            </w:pPr>
          </w:p>
        </w:tc>
        <w:tc>
          <w:tcPr>
            <w:tcW w:w="1760" w:type="dxa"/>
            <w:tcBorders>
              <w:top w:val="single" w:sz="4" w:space="0" w:color="auto"/>
              <w:left w:val="single" w:sz="4" w:space="0" w:color="auto"/>
              <w:bottom w:val="single" w:sz="4" w:space="0" w:color="auto"/>
              <w:right w:val="single" w:sz="4" w:space="0" w:color="auto"/>
            </w:tcBorders>
          </w:tcPr>
          <w:p w14:paraId="3B3A41F0" w14:textId="77777777" w:rsidR="00F21A70" w:rsidRPr="004E3312" w:rsidRDefault="00F21A70" w:rsidP="00B50A79">
            <w:pPr>
              <w:spacing w:before="0"/>
              <w:rPr>
                <w:szCs w:val="24"/>
              </w:rPr>
            </w:pPr>
          </w:p>
        </w:tc>
        <w:tc>
          <w:tcPr>
            <w:tcW w:w="1840" w:type="dxa"/>
            <w:tcBorders>
              <w:top w:val="single" w:sz="4" w:space="0" w:color="auto"/>
              <w:left w:val="single" w:sz="4" w:space="0" w:color="auto"/>
              <w:bottom w:val="single" w:sz="4" w:space="0" w:color="auto"/>
              <w:right w:val="single" w:sz="4" w:space="0" w:color="auto"/>
            </w:tcBorders>
          </w:tcPr>
          <w:p w14:paraId="450070E0" w14:textId="77777777" w:rsidR="00F21A70" w:rsidRPr="004E3312" w:rsidRDefault="00F21A70" w:rsidP="00B50A79">
            <w:pPr>
              <w:spacing w:before="0"/>
              <w:rPr>
                <w:szCs w:val="24"/>
              </w:rPr>
            </w:pPr>
          </w:p>
        </w:tc>
        <w:tc>
          <w:tcPr>
            <w:tcW w:w="1673" w:type="dxa"/>
            <w:tcBorders>
              <w:top w:val="single" w:sz="4" w:space="0" w:color="auto"/>
              <w:left w:val="single" w:sz="4" w:space="0" w:color="auto"/>
              <w:bottom w:val="single" w:sz="4" w:space="0" w:color="auto"/>
              <w:right w:val="single" w:sz="4" w:space="0" w:color="auto"/>
            </w:tcBorders>
          </w:tcPr>
          <w:p w14:paraId="3CF70F4D" w14:textId="77777777" w:rsidR="00F21A70" w:rsidRPr="004E3312" w:rsidRDefault="00F21A70" w:rsidP="00B50A79">
            <w:pPr>
              <w:spacing w:before="0"/>
              <w:rPr>
                <w:szCs w:val="24"/>
              </w:rPr>
            </w:pPr>
          </w:p>
        </w:tc>
      </w:tr>
      <w:tr w:rsidR="00F21A70" w:rsidRPr="004E3312" w14:paraId="74A0A9E1" w14:textId="77777777" w:rsidTr="00B50A79">
        <w:tc>
          <w:tcPr>
            <w:tcW w:w="1885" w:type="dxa"/>
            <w:tcBorders>
              <w:top w:val="single" w:sz="4" w:space="0" w:color="auto"/>
              <w:left w:val="single" w:sz="4" w:space="0" w:color="auto"/>
              <w:bottom w:val="single" w:sz="4" w:space="0" w:color="auto"/>
              <w:right w:val="single" w:sz="4" w:space="0" w:color="auto"/>
            </w:tcBorders>
            <w:hideMark/>
          </w:tcPr>
          <w:p w14:paraId="063DC172" w14:textId="77777777" w:rsidR="00F21A70" w:rsidRPr="004E3312" w:rsidRDefault="00F21A70" w:rsidP="00B50A79">
            <w:pPr>
              <w:spacing w:before="0"/>
              <w:rPr>
                <w:szCs w:val="24"/>
              </w:rPr>
            </w:pPr>
            <w:r w:rsidRPr="004E3312">
              <w:rPr>
                <w:szCs w:val="24"/>
              </w:rPr>
              <w:t xml:space="preserve">Uganda </w:t>
            </w:r>
          </w:p>
        </w:tc>
        <w:tc>
          <w:tcPr>
            <w:tcW w:w="1823" w:type="dxa"/>
            <w:tcBorders>
              <w:top w:val="single" w:sz="4" w:space="0" w:color="auto"/>
              <w:left w:val="single" w:sz="4" w:space="0" w:color="auto"/>
              <w:bottom w:val="single" w:sz="4" w:space="0" w:color="auto"/>
              <w:right w:val="single" w:sz="4" w:space="0" w:color="auto"/>
            </w:tcBorders>
            <w:vAlign w:val="bottom"/>
            <w:hideMark/>
          </w:tcPr>
          <w:p w14:paraId="0A32EB97" w14:textId="77777777" w:rsidR="00F21A70" w:rsidRPr="004E3312" w:rsidRDefault="00F21A70" w:rsidP="00B50A79">
            <w:pPr>
              <w:spacing w:before="0"/>
              <w:rPr>
                <w:color w:val="000000"/>
                <w:szCs w:val="24"/>
              </w:rPr>
            </w:pPr>
            <w:r w:rsidRPr="004E3312">
              <w:rPr>
                <w:color w:val="000000"/>
                <w:szCs w:val="24"/>
              </w:rPr>
              <w:t>3</w:t>
            </w:r>
            <w:r>
              <w:rPr>
                <w:color w:val="000000"/>
                <w:szCs w:val="24"/>
              </w:rPr>
              <w:t>4</w:t>
            </w:r>
            <w:r w:rsidRPr="004E3312">
              <w:rPr>
                <w:color w:val="000000"/>
                <w:szCs w:val="24"/>
              </w:rPr>
              <w:t>4.</w:t>
            </w:r>
            <w:r>
              <w:rPr>
                <w:color w:val="000000"/>
                <w:szCs w:val="24"/>
              </w:rPr>
              <w:t>3817</w:t>
            </w:r>
          </w:p>
        </w:tc>
        <w:tc>
          <w:tcPr>
            <w:tcW w:w="1760" w:type="dxa"/>
            <w:tcBorders>
              <w:top w:val="single" w:sz="4" w:space="0" w:color="auto"/>
              <w:left w:val="single" w:sz="4" w:space="0" w:color="auto"/>
              <w:bottom w:val="single" w:sz="4" w:space="0" w:color="auto"/>
              <w:right w:val="single" w:sz="4" w:space="0" w:color="auto"/>
            </w:tcBorders>
            <w:vAlign w:val="bottom"/>
            <w:hideMark/>
          </w:tcPr>
          <w:p w14:paraId="5E84A3AB" w14:textId="77777777" w:rsidR="00F21A70" w:rsidRPr="004E3312" w:rsidRDefault="00F21A70" w:rsidP="00B50A79">
            <w:pPr>
              <w:spacing w:before="0"/>
              <w:rPr>
                <w:color w:val="000000"/>
                <w:szCs w:val="24"/>
              </w:rPr>
            </w:pPr>
            <w:r w:rsidRPr="004E3312">
              <w:rPr>
                <w:color w:val="000000"/>
                <w:szCs w:val="24"/>
              </w:rPr>
              <w:t>8</w:t>
            </w:r>
            <w:r>
              <w:rPr>
                <w:color w:val="000000"/>
                <w:szCs w:val="24"/>
              </w:rPr>
              <w:t>1</w:t>
            </w:r>
            <w:r w:rsidRPr="004E3312">
              <w:rPr>
                <w:color w:val="000000"/>
                <w:szCs w:val="24"/>
              </w:rPr>
              <w:t>.</w:t>
            </w:r>
            <w:r>
              <w:rPr>
                <w:color w:val="000000"/>
                <w:szCs w:val="24"/>
              </w:rPr>
              <w:t>04116</w:t>
            </w:r>
          </w:p>
        </w:tc>
        <w:tc>
          <w:tcPr>
            <w:tcW w:w="1840" w:type="dxa"/>
            <w:tcBorders>
              <w:top w:val="single" w:sz="4" w:space="0" w:color="auto"/>
              <w:left w:val="single" w:sz="4" w:space="0" w:color="auto"/>
              <w:bottom w:val="single" w:sz="4" w:space="0" w:color="auto"/>
              <w:right w:val="single" w:sz="4" w:space="0" w:color="auto"/>
            </w:tcBorders>
            <w:vAlign w:val="bottom"/>
            <w:hideMark/>
          </w:tcPr>
          <w:p w14:paraId="2187D095" w14:textId="77777777" w:rsidR="00F21A70" w:rsidRPr="004E3312" w:rsidRDefault="00F21A70" w:rsidP="00B50A79">
            <w:pPr>
              <w:spacing w:before="0"/>
              <w:rPr>
                <w:color w:val="000000"/>
                <w:szCs w:val="24"/>
              </w:rPr>
            </w:pPr>
            <w:r w:rsidRPr="004E3312">
              <w:rPr>
                <w:color w:val="000000"/>
                <w:szCs w:val="24"/>
              </w:rPr>
              <w:t>4.</w:t>
            </w:r>
            <w:r>
              <w:rPr>
                <w:color w:val="000000"/>
                <w:szCs w:val="24"/>
              </w:rPr>
              <w:t>249266</w:t>
            </w:r>
          </w:p>
        </w:tc>
        <w:tc>
          <w:tcPr>
            <w:tcW w:w="1673" w:type="dxa"/>
            <w:tcBorders>
              <w:top w:val="single" w:sz="4" w:space="0" w:color="auto"/>
              <w:left w:val="single" w:sz="4" w:space="0" w:color="auto"/>
              <w:bottom w:val="single" w:sz="4" w:space="0" w:color="auto"/>
              <w:right w:val="single" w:sz="4" w:space="0" w:color="auto"/>
            </w:tcBorders>
            <w:vAlign w:val="bottom"/>
            <w:hideMark/>
          </w:tcPr>
          <w:p w14:paraId="7259A876" w14:textId="77777777" w:rsidR="00F21A70" w:rsidRPr="004E3312" w:rsidRDefault="00F21A70" w:rsidP="00B50A79">
            <w:pPr>
              <w:spacing w:before="0"/>
              <w:rPr>
                <w:color w:val="000000"/>
                <w:szCs w:val="24"/>
              </w:rPr>
            </w:pPr>
            <w:r w:rsidRPr="004E3312">
              <w:rPr>
                <w:color w:val="000000"/>
                <w:szCs w:val="24"/>
              </w:rPr>
              <w:t>0.0000</w:t>
            </w:r>
          </w:p>
        </w:tc>
      </w:tr>
      <w:tr w:rsidR="00F21A70" w:rsidRPr="004E3312" w14:paraId="49608818" w14:textId="77777777" w:rsidTr="00B50A79">
        <w:tc>
          <w:tcPr>
            <w:tcW w:w="1885" w:type="dxa"/>
            <w:tcBorders>
              <w:top w:val="single" w:sz="4" w:space="0" w:color="auto"/>
              <w:left w:val="single" w:sz="4" w:space="0" w:color="auto"/>
              <w:bottom w:val="single" w:sz="4" w:space="0" w:color="auto"/>
              <w:right w:val="single" w:sz="4" w:space="0" w:color="auto"/>
            </w:tcBorders>
          </w:tcPr>
          <w:p w14:paraId="52A2160C"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hideMark/>
          </w:tcPr>
          <w:p w14:paraId="2F34A732" w14:textId="77777777" w:rsidR="00F21A70" w:rsidRPr="004E3312" w:rsidRDefault="00F21A70" w:rsidP="00B50A79">
            <w:pPr>
              <w:spacing w:before="0"/>
              <w:rPr>
                <w:color w:val="000000"/>
                <w:szCs w:val="24"/>
              </w:rPr>
            </w:pPr>
            <w:r w:rsidRPr="004E3312">
              <w:rPr>
                <w:color w:val="000000"/>
                <w:szCs w:val="24"/>
              </w:rPr>
              <w:t>0.43</w:t>
            </w:r>
            <w:r>
              <w:rPr>
                <w:color w:val="000000"/>
                <w:szCs w:val="24"/>
              </w:rPr>
              <w:t>0030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11FF0507" w14:textId="77777777" w:rsidR="00F21A70" w:rsidRPr="004E3312" w:rsidRDefault="00F21A70" w:rsidP="00B50A79">
            <w:pPr>
              <w:spacing w:before="0"/>
              <w:rPr>
                <w:color w:val="000000"/>
                <w:szCs w:val="24"/>
              </w:rPr>
            </w:pPr>
            <w:r w:rsidRPr="004E3312">
              <w:rPr>
                <w:color w:val="000000"/>
                <w:szCs w:val="24"/>
              </w:rPr>
              <w:t>0</w:t>
            </w:r>
            <w:r>
              <w:rPr>
                <w:color w:val="000000"/>
                <w:szCs w:val="24"/>
              </w:rPr>
              <w:t>.11</w:t>
            </w:r>
            <w:r w:rsidRPr="004E3312">
              <w:rPr>
                <w:color w:val="000000"/>
                <w:szCs w:val="24"/>
              </w:rPr>
              <w:t>0</w:t>
            </w:r>
            <w:r>
              <w:rPr>
                <w:color w:val="000000"/>
                <w:szCs w:val="24"/>
              </w:rPr>
              <w:t>197</w:t>
            </w:r>
          </w:p>
        </w:tc>
        <w:tc>
          <w:tcPr>
            <w:tcW w:w="1840" w:type="dxa"/>
            <w:tcBorders>
              <w:top w:val="single" w:sz="4" w:space="0" w:color="auto"/>
              <w:left w:val="single" w:sz="4" w:space="0" w:color="auto"/>
              <w:bottom w:val="single" w:sz="4" w:space="0" w:color="auto"/>
              <w:right w:val="single" w:sz="4" w:space="0" w:color="auto"/>
            </w:tcBorders>
            <w:vAlign w:val="bottom"/>
            <w:hideMark/>
          </w:tcPr>
          <w:p w14:paraId="7F70AB8A" w14:textId="77777777" w:rsidR="00F21A70" w:rsidRPr="004E3312" w:rsidRDefault="00F21A70" w:rsidP="00B50A79">
            <w:pPr>
              <w:spacing w:before="0"/>
              <w:rPr>
                <w:color w:val="000000"/>
                <w:szCs w:val="24"/>
              </w:rPr>
            </w:pPr>
            <w:r>
              <w:rPr>
                <w:color w:val="000000"/>
                <w:szCs w:val="24"/>
              </w:rPr>
              <w:t>3</w:t>
            </w:r>
            <w:r w:rsidRPr="004E3312">
              <w:rPr>
                <w:color w:val="000000"/>
                <w:szCs w:val="24"/>
              </w:rPr>
              <w:t>.</w:t>
            </w:r>
            <w:r>
              <w:rPr>
                <w:color w:val="000000"/>
                <w:szCs w:val="24"/>
              </w:rPr>
              <w:t>902393</w:t>
            </w:r>
          </w:p>
        </w:tc>
        <w:tc>
          <w:tcPr>
            <w:tcW w:w="1673" w:type="dxa"/>
            <w:tcBorders>
              <w:top w:val="single" w:sz="4" w:space="0" w:color="auto"/>
              <w:left w:val="single" w:sz="4" w:space="0" w:color="auto"/>
              <w:bottom w:val="single" w:sz="4" w:space="0" w:color="auto"/>
              <w:right w:val="single" w:sz="4" w:space="0" w:color="auto"/>
            </w:tcBorders>
            <w:vAlign w:val="bottom"/>
            <w:hideMark/>
          </w:tcPr>
          <w:p w14:paraId="2071D0B6" w14:textId="77777777" w:rsidR="00F21A70" w:rsidRPr="004E3312" w:rsidRDefault="00F21A70" w:rsidP="00B50A79">
            <w:pPr>
              <w:spacing w:before="0"/>
              <w:rPr>
                <w:color w:val="000000"/>
                <w:szCs w:val="24"/>
              </w:rPr>
            </w:pPr>
            <w:r w:rsidRPr="004E3312">
              <w:rPr>
                <w:color w:val="000000"/>
                <w:szCs w:val="24"/>
              </w:rPr>
              <w:t>0.000</w:t>
            </w:r>
            <w:r>
              <w:rPr>
                <w:color w:val="000000"/>
                <w:szCs w:val="24"/>
              </w:rPr>
              <w:t>1</w:t>
            </w:r>
          </w:p>
        </w:tc>
      </w:tr>
      <w:tr w:rsidR="00F21A70" w:rsidRPr="004E3312" w14:paraId="4467D4DF" w14:textId="77777777" w:rsidTr="00B50A79">
        <w:tc>
          <w:tcPr>
            <w:tcW w:w="1885" w:type="dxa"/>
            <w:tcBorders>
              <w:top w:val="single" w:sz="4" w:space="0" w:color="auto"/>
              <w:left w:val="single" w:sz="4" w:space="0" w:color="auto"/>
              <w:bottom w:val="single" w:sz="4" w:space="0" w:color="auto"/>
              <w:right w:val="single" w:sz="4" w:space="0" w:color="auto"/>
            </w:tcBorders>
          </w:tcPr>
          <w:p w14:paraId="1751E07B"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hideMark/>
          </w:tcPr>
          <w:p w14:paraId="3B1D8768" w14:textId="77777777" w:rsidR="00F21A70" w:rsidRPr="004E3312" w:rsidRDefault="00F21A70" w:rsidP="00B50A79">
            <w:pPr>
              <w:spacing w:before="0"/>
              <w:rPr>
                <w:color w:val="000000"/>
                <w:szCs w:val="24"/>
              </w:rPr>
            </w:pPr>
            <w:r>
              <w:rPr>
                <w:color w:val="000000"/>
                <w:szCs w:val="24"/>
              </w:rPr>
              <w:t>0.517787</w:t>
            </w:r>
          </w:p>
        </w:tc>
        <w:tc>
          <w:tcPr>
            <w:tcW w:w="1760" w:type="dxa"/>
            <w:tcBorders>
              <w:top w:val="single" w:sz="4" w:space="0" w:color="auto"/>
              <w:left w:val="single" w:sz="4" w:space="0" w:color="auto"/>
              <w:bottom w:val="single" w:sz="4" w:space="0" w:color="auto"/>
              <w:right w:val="single" w:sz="4" w:space="0" w:color="auto"/>
            </w:tcBorders>
            <w:vAlign w:val="bottom"/>
            <w:hideMark/>
          </w:tcPr>
          <w:p w14:paraId="76E06783" w14:textId="77777777" w:rsidR="00F21A70" w:rsidRPr="004E3312" w:rsidRDefault="00F21A70" w:rsidP="00B50A79">
            <w:pPr>
              <w:spacing w:before="0"/>
              <w:rPr>
                <w:color w:val="000000"/>
                <w:szCs w:val="24"/>
              </w:rPr>
            </w:pPr>
            <w:r w:rsidRPr="004E3312">
              <w:rPr>
                <w:color w:val="000000"/>
                <w:szCs w:val="24"/>
              </w:rPr>
              <w:t>0.0</w:t>
            </w:r>
            <w:r>
              <w:rPr>
                <w:color w:val="000000"/>
                <w:szCs w:val="24"/>
              </w:rPr>
              <w:t>70932</w:t>
            </w:r>
          </w:p>
        </w:tc>
        <w:tc>
          <w:tcPr>
            <w:tcW w:w="1840" w:type="dxa"/>
            <w:tcBorders>
              <w:top w:val="single" w:sz="4" w:space="0" w:color="auto"/>
              <w:left w:val="single" w:sz="4" w:space="0" w:color="auto"/>
              <w:bottom w:val="single" w:sz="4" w:space="0" w:color="auto"/>
              <w:right w:val="single" w:sz="4" w:space="0" w:color="auto"/>
            </w:tcBorders>
            <w:vAlign w:val="bottom"/>
            <w:hideMark/>
          </w:tcPr>
          <w:p w14:paraId="19EFF86A" w14:textId="77777777" w:rsidR="00F21A70" w:rsidRPr="004E3312" w:rsidRDefault="00F21A70" w:rsidP="00B50A79">
            <w:pPr>
              <w:spacing w:before="0"/>
              <w:rPr>
                <w:color w:val="000000"/>
                <w:szCs w:val="24"/>
              </w:rPr>
            </w:pPr>
            <w:r w:rsidRPr="004E3312">
              <w:rPr>
                <w:color w:val="000000"/>
                <w:szCs w:val="24"/>
              </w:rPr>
              <w:t>7.</w:t>
            </w:r>
            <w:r>
              <w:rPr>
                <w:color w:val="000000"/>
                <w:szCs w:val="24"/>
              </w:rPr>
              <w:t>299810</w:t>
            </w:r>
          </w:p>
        </w:tc>
        <w:tc>
          <w:tcPr>
            <w:tcW w:w="1673" w:type="dxa"/>
            <w:tcBorders>
              <w:top w:val="single" w:sz="4" w:space="0" w:color="auto"/>
              <w:left w:val="single" w:sz="4" w:space="0" w:color="auto"/>
              <w:bottom w:val="single" w:sz="4" w:space="0" w:color="auto"/>
              <w:right w:val="single" w:sz="4" w:space="0" w:color="auto"/>
            </w:tcBorders>
            <w:vAlign w:val="bottom"/>
            <w:hideMark/>
          </w:tcPr>
          <w:p w14:paraId="2619BCAC" w14:textId="77777777" w:rsidR="00F21A70" w:rsidRPr="004E3312" w:rsidRDefault="00F21A70" w:rsidP="00B50A79">
            <w:pPr>
              <w:spacing w:before="0"/>
              <w:rPr>
                <w:color w:val="000000"/>
                <w:szCs w:val="24"/>
              </w:rPr>
            </w:pPr>
            <w:r w:rsidRPr="004E3312">
              <w:rPr>
                <w:color w:val="000000"/>
                <w:szCs w:val="24"/>
              </w:rPr>
              <w:t>0.0000</w:t>
            </w:r>
          </w:p>
        </w:tc>
      </w:tr>
      <w:tr w:rsidR="00F21A70" w:rsidRPr="004E3312" w14:paraId="38BCA782" w14:textId="77777777" w:rsidTr="00B50A79">
        <w:tc>
          <w:tcPr>
            <w:tcW w:w="1885" w:type="dxa"/>
            <w:tcBorders>
              <w:top w:val="single" w:sz="4" w:space="0" w:color="auto"/>
              <w:left w:val="single" w:sz="4" w:space="0" w:color="auto"/>
              <w:bottom w:val="single" w:sz="4" w:space="0" w:color="auto"/>
              <w:right w:val="single" w:sz="4" w:space="0" w:color="auto"/>
            </w:tcBorders>
          </w:tcPr>
          <w:p w14:paraId="5E5E464D"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tcPr>
          <w:p w14:paraId="61BBE943" w14:textId="77777777" w:rsidR="00F21A70" w:rsidRPr="004E3312" w:rsidRDefault="00F21A70" w:rsidP="00B50A79">
            <w:pPr>
              <w:spacing w:before="0"/>
              <w:rPr>
                <w:color w:val="000000"/>
                <w:szCs w:val="24"/>
              </w:rPr>
            </w:pPr>
          </w:p>
        </w:tc>
        <w:tc>
          <w:tcPr>
            <w:tcW w:w="1760" w:type="dxa"/>
            <w:tcBorders>
              <w:top w:val="single" w:sz="4" w:space="0" w:color="auto"/>
              <w:left w:val="single" w:sz="4" w:space="0" w:color="auto"/>
              <w:bottom w:val="single" w:sz="4" w:space="0" w:color="auto"/>
              <w:right w:val="single" w:sz="4" w:space="0" w:color="auto"/>
            </w:tcBorders>
            <w:vAlign w:val="bottom"/>
          </w:tcPr>
          <w:p w14:paraId="00F0A1C2" w14:textId="77777777" w:rsidR="00F21A70" w:rsidRPr="004E3312" w:rsidRDefault="00F21A70" w:rsidP="00B50A79">
            <w:pPr>
              <w:spacing w:before="0"/>
              <w:rPr>
                <w:color w:val="000000"/>
                <w:szCs w:val="24"/>
              </w:rPr>
            </w:pPr>
          </w:p>
        </w:tc>
        <w:tc>
          <w:tcPr>
            <w:tcW w:w="1840" w:type="dxa"/>
            <w:tcBorders>
              <w:top w:val="single" w:sz="4" w:space="0" w:color="auto"/>
              <w:left w:val="single" w:sz="4" w:space="0" w:color="auto"/>
              <w:bottom w:val="single" w:sz="4" w:space="0" w:color="auto"/>
              <w:right w:val="single" w:sz="4" w:space="0" w:color="auto"/>
            </w:tcBorders>
            <w:vAlign w:val="bottom"/>
          </w:tcPr>
          <w:p w14:paraId="2A7A50F7" w14:textId="77777777" w:rsidR="00F21A70" w:rsidRPr="004E3312" w:rsidRDefault="00F21A70" w:rsidP="00B50A79">
            <w:pPr>
              <w:spacing w:before="0"/>
              <w:rPr>
                <w:color w:val="000000"/>
                <w:szCs w:val="24"/>
              </w:rPr>
            </w:pPr>
          </w:p>
        </w:tc>
        <w:tc>
          <w:tcPr>
            <w:tcW w:w="1673" w:type="dxa"/>
            <w:tcBorders>
              <w:top w:val="single" w:sz="4" w:space="0" w:color="auto"/>
              <w:left w:val="single" w:sz="4" w:space="0" w:color="auto"/>
              <w:bottom w:val="single" w:sz="4" w:space="0" w:color="auto"/>
              <w:right w:val="single" w:sz="4" w:space="0" w:color="auto"/>
            </w:tcBorders>
            <w:vAlign w:val="bottom"/>
          </w:tcPr>
          <w:p w14:paraId="3180E422" w14:textId="77777777" w:rsidR="00F21A70" w:rsidRPr="004E3312" w:rsidRDefault="00F21A70" w:rsidP="00B50A79">
            <w:pPr>
              <w:spacing w:before="0"/>
              <w:rPr>
                <w:color w:val="000000"/>
                <w:szCs w:val="24"/>
              </w:rPr>
            </w:pPr>
          </w:p>
        </w:tc>
      </w:tr>
      <w:tr w:rsidR="00F21A70" w:rsidRPr="004E3312" w14:paraId="3C5E3F8A" w14:textId="77777777" w:rsidTr="00B50A79">
        <w:tc>
          <w:tcPr>
            <w:tcW w:w="1885" w:type="dxa"/>
            <w:tcBorders>
              <w:top w:val="single" w:sz="4" w:space="0" w:color="auto"/>
              <w:left w:val="single" w:sz="4" w:space="0" w:color="auto"/>
              <w:bottom w:val="single" w:sz="4" w:space="0" w:color="auto"/>
              <w:right w:val="single" w:sz="4" w:space="0" w:color="auto"/>
            </w:tcBorders>
            <w:hideMark/>
          </w:tcPr>
          <w:p w14:paraId="3872FC6F" w14:textId="77777777" w:rsidR="00F21A70" w:rsidRPr="004E3312" w:rsidRDefault="00F21A70" w:rsidP="00B50A79">
            <w:pPr>
              <w:spacing w:before="0"/>
              <w:rPr>
                <w:szCs w:val="24"/>
              </w:rPr>
            </w:pPr>
            <w:r w:rsidRPr="004E3312">
              <w:rPr>
                <w:szCs w:val="24"/>
              </w:rPr>
              <w:t xml:space="preserve">Tanzania </w:t>
            </w:r>
          </w:p>
        </w:tc>
        <w:tc>
          <w:tcPr>
            <w:tcW w:w="1823" w:type="dxa"/>
            <w:tcBorders>
              <w:top w:val="single" w:sz="4" w:space="0" w:color="auto"/>
              <w:left w:val="single" w:sz="4" w:space="0" w:color="auto"/>
              <w:bottom w:val="single" w:sz="4" w:space="0" w:color="auto"/>
              <w:right w:val="single" w:sz="4" w:space="0" w:color="auto"/>
            </w:tcBorders>
            <w:vAlign w:val="bottom"/>
            <w:hideMark/>
          </w:tcPr>
          <w:p w14:paraId="2E4AF429" w14:textId="77777777" w:rsidR="00F21A70" w:rsidRPr="004E3312" w:rsidRDefault="00F21A70" w:rsidP="00B50A79">
            <w:pPr>
              <w:spacing w:before="0"/>
              <w:rPr>
                <w:color w:val="000000"/>
                <w:szCs w:val="24"/>
              </w:rPr>
            </w:pPr>
            <w:r w:rsidRPr="004E3312">
              <w:rPr>
                <w:color w:val="000000"/>
                <w:szCs w:val="24"/>
              </w:rPr>
              <w:t>93.62298</w:t>
            </w:r>
          </w:p>
        </w:tc>
        <w:tc>
          <w:tcPr>
            <w:tcW w:w="1760" w:type="dxa"/>
            <w:tcBorders>
              <w:top w:val="single" w:sz="4" w:space="0" w:color="auto"/>
              <w:left w:val="single" w:sz="4" w:space="0" w:color="auto"/>
              <w:bottom w:val="single" w:sz="4" w:space="0" w:color="auto"/>
              <w:right w:val="single" w:sz="4" w:space="0" w:color="auto"/>
            </w:tcBorders>
            <w:vAlign w:val="bottom"/>
            <w:hideMark/>
          </w:tcPr>
          <w:p w14:paraId="0C858777" w14:textId="77777777" w:rsidR="00F21A70" w:rsidRPr="004E3312" w:rsidRDefault="00F21A70" w:rsidP="00B50A79">
            <w:pPr>
              <w:spacing w:before="0"/>
              <w:rPr>
                <w:color w:val="000000"/>
                <w:szCs w:val="24"/>
              </w:rPr>
            </w:pPr>
            <w:r w:rsidRPr="004E3312">
              <w:rPr>
                <w:color w:val="000000"/>
                <w:szCs w:val="24"/>
              </w:rPr>
              <w:t>13.89814</w:t>
            </w:r>
          </w:p>
        </w:tc>
        <w:tc>
          <w:tcPr>
            <w:tcW w:w="1840" w:type="dxa"/>
            <w:tcBorders>
              <w:top w:val="single" w:sz="4" w:space="0" w:color="auto"/>
              <w:left w:val="single" w:sz="4" w:space="0" w:color="auto"/>
              <w:bottom w:val="single" w:sz="4" w:space="0" w:color="auto"/>
              <w:right w:val="single" w:sz="4" w:space="0" w:color="auto"/>
            </w:tcBorders>
            <w:vAlign w:val="bottom"/>
            <w:hideMark/>
          </w:tcPr>
          <w:p w14:paraId="79AA870A" w14:textId="77777777" w:rsidR="00F21A70" w:rsidRPr="004E3312" w:rsidRDefault="00F21A70" w:rsidP="00B50A79">
            <w:pPr>
              <w:spacing w:before="0"/>
              <w:rPr>
                <w:color w:val="000000"/>
                <w:szCs w:val="24"/>
              </w:rPr>
            </w:pPr>
            <w:r w:rsidRPr="004E3312">
              <w:rPr>
                <w:color w:val="000000"/>
                <w:szCs w:val="24"/>
              </w:rPr>
              <w:t>6.736368</w:t>
            </w:r>
          </w:p>
        </w:tc>
        <w:tc>
          <w:tcPr>
            <w:tcW w:w="1673" w:type="dxa"/>
            <w:tcBorders>
              <w:top w:val="single" w:sz="4" w:space="0" w:color="auto"/>
              <w:left w:val="single" w:sz="4" w:space="0" w:color="auto"/>
              <w:bottom w:val="single" w:sz="4" w:space="0" w:color="auto"/>
              <w:right w:val="single" w:sz="4" w:space="0" w:color="auto"/>
            </w:tcBorders>
            <w:vAlign w:val="bottom"/>
            <w:hideMark/>
          </w:tcPr>
          <w:p w14:paraId="1E0B8E49" w14:textId="77777777" w:rsidR="00F21A70" w:rsidRPr="004E3312" w:rsidRDefault="00F21A70" w:rsidP="00B50A79">
            <w:pPr>
              <w:spacing w:before="0"/>
              <w:rPr>
                <w:color w:val="000000"/>
                <w:szCs w:val="24"/>
              </w:rPr>
            </w:pPr>
            <w:r w:rsidRPr="004E3312">
              <w:rPr>
                <w:color w:val="000000"/>
                <w:szCs w:val="24"/>
              </w:rPr>
              <w:t>0.0000</w:t>
            </w:r>
          </w:p>
        </w:tc>
      </w:tr>
      <w:tr w:rsidR="00F21A70" w:rsidRPr="004E3312" w14:paraId="662D415B" w14:textId="77777777" w:rsidTr="00B50A79">
        <w:tc>
          <w:tcPr>
            <w:tcW w:w="1885" w:type="dxa"/>
            <w:tcBorders>
              <w:top w:val="single" w:sz="4" w:space="0" w:color="auto"/>
              <w:left w:val="single" w:sz="4" w:space="0" w:color="auto"/>
              <w:bottom w:val="single" w:sz="4" w:space="0" w:color="auto"/>
              <w:right w:val="single" w:sz="4" w:space="0" w:color="auto"/>
            </w:tcBorders>
          </w:tcPr>
          <w:p w14:paraId="06B873BE"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hideMark/>
          </w:tcPr>
          <w:p w14:paraId="6D3CF4FF" w14:textId="77777777" w:rsidR="00F21A70" w:rsidRPr="004E3312" w:rsidRDefault="00F21A70" w:rsidP="00B50A79">
            <w:pPr>
              <w:spacing w:before="0"/>
              <w:rPr>
                <w:color w:val="000000"/>
                <w:szCs w:val="24"/>
              </w:rPr>
            </w:pPr>
            <w:r w:rsidRPr="004E3312">
              <w:rPr>
                <w:color w:val="000000"/>
                <w:szCs w:val="24"/>
              </w:rPr>
              <w:t>0.751920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568FC496" w14:textId="77777777" w:rsidR="00F21A70" w:rsidRPr="004E3312" w:rsidRDefault="00F21A70" w:rsidP="00B50A79">
            <w:pPr>
              <w:spacing w:before="0"/>
              <w:rPr>
                <w:color w:val="000000"/>
                <w:szCs w:val="24"/>
              </w:rPr>
            </w:pPr>
            <w:r w:rsidRPr="004E3312">
              <w:rPr>
                <w:color w:val="000000"/>
                <w:szCs w:val="24"/>
              </w:rPr>
              <w:t>0.158567</w:t>
            </w:r>
          </w:p>
        </w:tc>
        <w:tc>
          <w:tcPr>
            <w:tcW w:w="1840" w:type="dxa"/>
            <w:tcBorders>
              <w:top w:val="single" w:sz="4" w:space="0" w:color="auto"/>
              <w:left w:val="single" w:sz="4" w:space="0" w:color="auto"/>
              <w:bottom w:val="single" w:sz="4" w:space="0" w:color="auto"/>
              <w:right w:val="single" w:sz="4" w:space="0" w:color="auto"/>
            </w:tcBorders>
            <w:vAlign w:val="bottom"/>
            <w:hideMark/>
          </w:tcPr>
          <w:p w14:paraId="64758256" w14:textId="77777777" w:rsidR="00F21A70" w:rsidRPr="004E3312" w:rsidRDefault="00F21A70" w:rsidP="00B50A79">
            <w:pPr>
              <w:spacing w:before="0"/>
              <w:rPr>
                <w:color w:val="000000"/>
                <w:szCs w:val="24"/>
              </w:rPr>
            </w:pPr>
            <w:r w:rsidRPr="004E3312">
              <w:rPr>
                <w:color w:val="000000"/>
                <w:szCs w:val="24"/>
              </w:rPr>
              <w:t>4.741966</w:t>
            </w:r>
          </w:p>
        </w:tc>
        <w:tc>
          <w:tcPr>
            <w:tcW w:w="1673" w:type="dxa"/>
            <w:tcBorders>
              <w:top w:val="single" w:sz="4" w:space="0" w:color="auto"/>
              <w:left w:val="single" w:sz="4" w:space="0" w:color="auto"/>
              <w:bottom w:val="single" w:sz="4" w:space="0" w:color="auto"/>
              <w:right w:val="single" w:sz="4" w:space="0" w:color="auto"/>
            </w:tcBorders>
            <w:vAlign w:val="bottom"/>
            <w:hideMark/>
          </w:tcPr>
          <w:p w14:paraId="0B1600E6" w14:textId="77777777" w:rsidR="00F21A70" w:rsidRPr="004E3312" w:rsidRDefault="00F21A70" w:rsidP="00B50A79">
            <w:pPr>
              <w:spacing w:before="0"/>
              <w:rPr>
                <w:color w:val="000000"/>
                <w:szCs w:val="24"/>
              </w:rPr>
            </w:pPr>
            <w:r w:rsidRPr="004E3312">
              <w:rPr>
                <w:color w:val="000000"/>
                <w:szCs w:val="24"/>
              </w:rPr>
              <w:t>0.0000</w:t>
            </w:r>
          </w:p>
        </w:tc>
      </w:tr>
      <w:tr w:rsidR="00F21A70" w:rsidRPr="004E3312" w14:paraId="5DCEBA42" w14:textId="77777777" w:rsidTr="00B50A79">
        <w:trPr>
          <w:trHeight w:val="237"/>
        </w:trPr>
        <w:tc>
          <w:tcPr>
            <w:tcW w:w="1885" w:type="dxa"/>
            <w:tcBorders>
              <w:top w:val="single" w:sz="4" w:space="0" w:color="auto"/>
              <w:left w:val="single" w:sz="4" w:space="0" w:color="auto"/>
              <w:bottom w:val="single" w:sz="4" w:space="0" w:color="auto"/>
              <w:right w:val="single" w:sz="4" w:space="0" w:color="auto"/>
            </w:tcBorders>
          </w:tcPr>
          <w:p w14:paraId="71313D09" w14:textId="77777777" w:rsidR="00F21A70" w:rsidRPr="004E3312" w:rsidRDefault="00F21A70" w:rsidP="00B50A79">
            <w:pPr>
              <w:spacing w:before="0"/>
              <w:rPr>
                <w:szCs w:val="24"/>
              </w:rPr>
            </w:pPr>
          </w:p>
        </w:tc>
        <w:tc>
          <w:tcPr>
            <w:tcW w:w="1823" w:type="dxa"/>
            <w:tcBorders>
              <w:top w:val="single" w:sz="4" w:space="0" w:color="auto"/>
              <w:left w:val="single" w:sz="4" w:space="0" w:color="auto"/>
              <w:bottom w:val="single" w:sz="4" w:space="0" w:color="auto"/>
              <w:right w:val="single" w:sz="4" w:space="0" w:color="auto"/>
            </w:tcBorders>
            <w:vAlign w:val="bottom"/>
            <w:hideMark/>
          </w:tcPr>
          <w:p w14:paraId="08FF8194" w14:textId="77777777" w:rsidR="00F21A70" w:rsidRPr="004E3312" w:rsidRDefault="00F21A70" w:rsidP="00B50A79">
            <w:pPr>
              <w:spacing w:before="0"/>
              <w:rPr>
                <w:color w:val="000000"/>
                <w:szCs w:val="24"/>
              </w:rPr>
            </w:pPr>
            <w:r>
              <w:rPr>
                <w:color w:val="000000"/>
                <w:szCs w:val="24"/>
              </w:rPr>
              <w:t>0.280577</w:t>
            </w:r>
          </w:p>
        </w:tc>
        <w:tc>
          <w:tcPr>
            <w:tcW w:w="1760" w:type="dxa"/>
            <w:tcBorders>
              <w:top w:val="single" w:sz="4" w:space="0" w:color="auto"/>
              <w:left w:val="single" w:sz="4" w:space="0" w:color="auto"/>
              <w:bottom w:val="single" w:sz="4" w:space="0" w:color="auto"/>
              <w:right w:val="single" w:sz="4" w:space="0" w:color="auto"/>
            </w:tcBorders>
            <w:vAlign w:val="bottom"/>
            <w:hideMark/>
          </w:tcPr>
          <w:p w14:paraId="4D1AAF41" w14:textId="77777777" w:rsidR="00F21A70" w:rsidRPr="004E3312" w:rsidRDefault="00F21A70" w:rsidP="00B50A79">
            <w:pPr>
              <w:spacing w:before="0"/>
              <w:rPr>
                <w:color w:val="000000"/>
                <w:szCs w:val="24"/>
              </w:rPr>
            </w:pPr>
            <w:r w:rsidRPr="004E3312">
              <w:rPr>
                <w:color w:val="000000"/>
                <w:szCs w:val="24"/>
              </w:rPr>
              <w:t>0.07</w:t>
            </w:r>
            <w:r>
              <w:rPr>
                <w:color w:val="000000"/>
                <w:szCs w:val="24"/>
              </w:rPr>
              <w:t>4</w:t>
            </w:r>
            <w:r w:rsidRPr="004E3312">
              <w:rPr>
                <w:color w:val="000000"/>
                <w:szCs w:val="24"/>
              </w:rPr>
              <w:t>1</w:t>
            </w:r>
            <w:r>
              <w:rPr>
                <w:color w:val="000000"/>
                <w:szCs w:val="24"/>
              </w:rPr>
              <w:t>26</w:t>
            </w:r>
          </w:p>
        </w:tc>
        <w:tc>
          <w:tcPr>
            <w:tcW w:w="1840" w:type="dxa"/>
            <w:tcBorders>
              <w:top w:val="single" w:sz="4" w:space="0" w:color="auto"/>
              <w:left w:val="single" w:sz="4" w:space="0" w:color="auto"/>
              <w:bottom w:val="single" w:sz="4" w:space="0" w:color="auto"/>
              <w:right w:val="single" w:sz="4" w:space="0" w:color="auto"/>
            </w:tcBorders>
            <w:vAlign w:val="bottom"/>
            <w:hideMark/>
          </w:tcPr>
          <w:p w14:paraId="13C23C10" w14:textId="77777777" w:rsidR="00F21A70" w:rsidRPr="004E3312" w:rsidRDefault="00F21A70" w:rsidP="00B50A79">
            <w:pPr>
              <w:spacing w:before="0"/>
              <w:rPr>
                <w:color w:val="000000"/>
                <w:szCs w:val="24"/>
              </w:rPr>
            </w:pPr>
            <w:r>
              <w:rPr>
                <w:color w:val="000000"/>
                <w:szCs w:val="24"/>
              </w:rPr>
              <w:t>3</w:t>
            </w:r>
            <w:r w:rsidRPr="004E3312">
              <w:rPr>
                <w:color w:val="000000"/>
                <w:szCs w:val="24"/>
              </w:rPr>
              <w:t>.</w:t>
            </w:r>
            <w:r>
              <w:rPr>
                <w:color w:val="000000"/>
                <w:szCs w:val="24"/>
              </w:rPr>
              <w:t>785148</w:t>
            </w:r>
          </w:p>
        </w:tc>
        <w:tc>
          <w:tcPr>
            <w:tcW w:w="1673" w:type="dxa"/>
            <w:tcBorders>
              <w:top w:val="single" w:sz="4" w:space="0" w:color="auto"/>
              <w:left w:val="single" w:sz="4" w:space="0" w:color="auto"/>
              <w:bottom w:val="single" w:sz="4" w:space="0" w:color="auto"/>
              <w:right w:val="single" w:sz="4" w:space="0" w:color="auto"/>
            </w:tcBorders>
            <w:vAlign w:val="bottom"/>
            <w:hideMark/>
          </w:tcPr>
          <w:p w14:paraId="1D86F76C" w14:textId="77777777" w:rsidR="00F21A70" w:rsidRPr="004E3312" w:rsidRDefault="00F21A70" w:rsidP="00B50A79">
            <w:pPr>
              <w:spacing w:before="0"/>
              <w:rPr>
                <w:color w:val="000000"/>
                <w:szCs w:val="24"/>
              </w:rPr>
            </w:pPr>
            <w:r w:rsidRPr="004E3312">
              <w:rPr>
                <w:color w:val="000000"/>
                <w:szCs w:val="24"/>
              </w:rPr>
              <w:t>0.000</w:t>
            </w:r>
            <w:r>
              <w:rPr>
                <w:color w:val="000000"/>
                <w:szCs w:val="24"/>
              </w:rPr>
              <w:t>2</w:t>
            </w:r>
          </w:p>
        </w:tc>
      </w:tr>
    </w:tbl>
    <w:p w14:paraId="5ECC4F84" w14:textId="77777777" w:rsidR="00F21A70" w:rsidRPr="007E0791" w:rsidRDefault="00F21A70" w:rsidP="00F21A70">
      <w:pPr>
        <w:rPr>
          <w:b/>
          <w:bCs/>
        </w:rPr>
      </w:pPr>
      <w:r w:rsidRPr="007E0791">
        <w:rPr>
          <w:b/>
          <w:bCs/>
        </w:rPr>
        <w:t>Source: Authors Compilation (2022)</w:t>
      </w:r>
    </w:p>
    <w:p w14:paraId="5F13571D" w14:textId="2A8F577D" w:rsidR="00F21A70" w:rsidRPr="005D696E" w:rsidRDefault="00F21A70" w:rsidP="00F21A70">
      <w:r w:rsidRPr="004E3312">
        <w:t>The results show that the ARCH and GARCH coefficients</w:t>
      </w:r>
      <w:r>
        <w:t xml:space="preserve"> (α+β) </w:t>
      </w:r>
      <w:r w:rsidRPr="004E3312">
        <w:t>all add up to</w:t>
      </w:r>
      <w:r>
        <w:t xml:space="preserve"> one</w:t>
      </w:r>
      <w:r w:rsidRPr="004E3312">
        <w:t xml:space="preserve"> for all countries:</w:t>
      </w:r>
      <w:r>
        <w:t xml:space="preserve"> </w:t>
      </w:r>
      <w:r w:rsidRPr="004E3312">
        <w:t>Kenya (0.97), Uganda (0.</w:t>
      </w:r>
      <w:r>
        <w:t>95), and Tanzania (</w:t>
      </w:r>
      <w:r w:rsidRPr="004E3312">
        <w:t>1), indicating that exchange rate volatility shocks lasted quite a while</w:t>
      </w:r>
      <w:r>
        <w:t xml:space="preserve"> </w:t>
      </w:r>
      <w:r>
        <w:fldChar w:fldCharType="begin"/>
      </w:r>
      <w:r>
        <w:instrText xml:space="preserve"> ADDIN ZOTERO_ITEM CSL_CITATION {"citationID":"eZB4jzIB","properties":{"formattedCitation":"(Mosbei et al., 2021)","plainCitation":"(Mosbei et al., 2021)","noteIndex":0},"citationItems":[{"id":133,"uris":["http://zotero.org/users/local/gmijzRh7/items/SIKUQHJG"],"itemData":{"id":133,"type":"article-journal","abstract":"East Africa Community (EAC) exchange rate volatility spiraled up when the countries adopted the Structural Adjustment Policies in early 1980s. The question that remains unanswered is whether exchange rate volatility hinders or promotes trade. The objective of this study was to determine the effect of exchange rate volatility and its effect on Intra-East Africa Community regional trade. Unit root tests results indicated that some of the variables were stationary, and on first difference all variables were I(1). Differenced panel data was fitted into a General Autoregressive Conditional Heteroscedasticity model to measure volatility. Hausman test showed that the fixed effect model was appropriate, exchange rate, money supply, population, and foreign direct investment significantly determines intra-East Africa Community regional trade. It was concluded that exchange rate volatility is observable in the Intra-East Africa region and further, exchange rate, money supply, population, and foreign direct investment significantly influenced intra-EAC regional trade. It is recommended that EAC member states should formulate policies that ensures exchange rate stability in the region to reduce unpredictability of exchange rate. Policies should be enacted to guarantee adequate money supply and encourage foreign direct investments.","container-title":"Latin American Journal of Trade Policy","DOI":"10.5354/0719-9368.2021.58790","ISSN":"0719-9368","issue":"9","journalAbbreviation":"LAJTP","language":"en","page":"43","source":"DOI.org (Crossref)","title":"Exchange rate volatility and its effect on intra-East Africa Community regional trade","volume":"4","author":[{"family":"Mosbei","given":"Thomas"},{"family":"Samoei","given":"Silas Kiprono"},{"family":"Tison","given":"Clement Cheruiyot"},{"family":"Kipchoge","given":"Edwin Kipyego"}],"issued":{"date-parts":[["2021",4,30]]}}}],"schema":"https://github.com/citation-style-language/schema/raw/master/csl-citation.json"} </w:instrText>
      </w:r>
      <w:r>
        <w:fldChar w:fldCharType="separate"/>
      </w:r>
      <w:r>
        <w:t>(</w:t>
      </w:r>
      <w:proofErr w:type="spellStart"/>
      <w:r>
        <w:t>Mosbei</w:t>
      </w:r>
      <w:proofErr w:type="spellEnd"/>
      <w:r>
        <w:t xml:space="preserve"> et al., 2021)</w:t>
      </w:r>
      <w:r>
        <w:fldChar w:fldCharType="end"/>
      </w:r>
      <w:r>
        <w:t xml:space="preserve">. </w:t>
      </w:r>
      <w:r w:rsidRPr="004E3312">
        <w:t>discovered results that were comparable to</w:t>
      </w:r>
      <w:r>
        <w:t xml:space="preserve"> this study. </w:t>
      </w:r>
      <w:r w:rsidRPr="004E3312">
        <w:t xml:space="preserve">Figure </w:t>
      </w:r>
      <w:r>
        <w:t>3</w:t>
      </w:r>
      <w:r w:rsidRPr="004E3312">
        <w:t xml:space="preserve"> compar</w:t>
      </w:r>
      <w:r>
        <w:t>es the</w:t>
      </w:r>
      <w:r w:rsidRPr="004E3312">
        <w:t xml:space="preserve"> volatility levels </w:t>
      </w:r>
      <w:r>
        <w:t>of the exchange rate</w:t>
      </w:r>
      <w:r w:rsidRPr="004E3312">
        <w:t xml:space="preserve"> </w:t>
      </w:r>
      <w:r w:rsidR="00097BFD">
        <w:t xml:space="preserve">of </w:t>
      </w:r>
      <w:r>
        <w:t>the three selected EAC members</w:t>
      </w:r>
      <w:r w:rsidRPr="004E3312">
        <w:t>.</w:t>
      </w:r>
      <w:r>
        <w:t xml:space="preserve"> </w:t>
      </w:r>
      <w:r w:rsidRPr="004E3312">
        <w:t>These indicate which nation has the lowest or highest degree of exchange rate variation among nations.</w:t>
      </w:r>
      <w:r>
        <w:t xml:space="preserve"> </w:t>
      </w:r>
    </w:p>
    <w:p w14:paraId="0401DD6A" w14:textId="77777777" w:rsidR="00F21A70" w:rsidRDefault="00F21A70" w:rsidP="00F21A70">
      <w:pPr>
        <w:keepNext/>
      </w:pPr>
      <w:r>
        <w:rPr>
          <w:noProof/>
          <w:lang w:val="en-GB" w:eastAsia="en-GB"/>
        </w:rPr>
        <w:drawing>
          <wp:inline distT="0" distB="0" distL="0" distR="0" wp14:anchorId="7C185A3C" wp14:editId="4D4AA369">
            <wp:extent cx="4581525" cy="24288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97D1DF" w14:textId="77777777" w:rsidR="00F21A70" w:rsidRPr="005D696E" w:rsidRDefault="00F21A70" w:rsidP="00F21A70">
      <w:pPr>
        <w:rPr>
          <w:b/>
          <w:bCs/>
          <w:i/>
        </w:rPr>
      </w:pPr>
      <w:bookmarkStart w:id="13" w:name="_Toc118668872"/>
      <w:r w:rsidRPr="00DB72AC">
        <w:rPr>
          <w:b/>
          <w:bCs/>
        </w:rPr>
        <w:t>Figure 3: Coefficient</w:t>
      </w:r>
      <w:r w:rsidRPr="005D696E">
        <w:rPr>
          <w:b/>
          <w:bCs/>
        </w:rPr>
        <w:t xml:space="preserve"> of Variation</w:t>
      </w:r>
      <w:bookmarkEnd w:id="13"/>
    </w:p>
    <w:p w14:paraId="195B31DA" w14:textId="77777777" w:rsidR="00F21A70" w:rsidRPr="005D696E" w:rsidRDefault="00F21A70" w:rsidP="00F21A70">
      <w:pPr>
        <w:rPr>
          <w:b/>
          <w:bCs/>
        </w:rPr>
      </w:pPr>
      <w:r w:rsidRPr="005D696E">
        <w:rPr>
          <w:b/>
          <w:bCs/>
        </w:rPr>
        <w:t>Source: Author’s Compilation (2022)</w:t>
      </w:r>
    </w:p>
    <w:p w14:paraId="5A9449DE" w14:textId="581C0F34" w:rsidR="00F21A70" w:rsidRDefault="00F21A70" w:rsidP="00F21A70">
      <w:r>
        <w:t xml:space="preserve">Kenya and Uganda have seemingly low volatility compared to Tanzania. </w:t>
      </w:r>
      <w:proofErr w:type="spellStart"/>
      <w:r w:rsidRPr="00DB72AC">
        <w:t>Tibesigwa</w:t>
      </w:r>
      <w:proofErr w:type="spellEnd"/>
      <w:r w:rsidRPr="00DB72AC">
        <w:t>, Kaberuka</w:t>
      </w:r>
      <w:r w:rsidR="00097BFD">
        <w:t>,</w:t>
      </w:r>
      <w:r>
        <w:t xml:space="preserve"> and </w:t>
      </w:r>
      <w:proofErr w:type="spellStart"/>
      <w:r>
        <w:t>Watundu</w:t>
      </w:r>
      <w:proofErr w:type="spellEnd"/>
      <w:r>
        <w:t xml:space="preserve"> (2014) argue that the existence of high rates of exchange volatility could be explained by the fact that these currencies are not pegged to any major international currency. </w:t>
      </w:r>
      <w:r w:rsidRPr="005777D1">
        <w:t xml:space="preserve">Figure 4.1 shows that during the study period, Tanzania followed Uganda in having the highest </w:t>
      </w:r>
      <w:r>
        <w:lastRenderedPageBreak/>
        <w:t>coefficient of variation</w:t>
      </w:r>
      <w:r w:rsidRPr="005777D1">
        <w:t xml:space="preserve"> in the series </w:t>
      </w:r>
      <w:r>
        <w:t xml:space="preserve">of </w:t>
      </w:r>
      <w:r w:rsidRPr="005777D1">
        <w:t>exchange</w:t>
      </w:r>
      <w:r>
        <w:t xml:space="preserve"> rate</w:t>
      </w:r>
      <w:r w:rsidRPr="005777D1">
        <w:t xml:space="preserve"> volatility. As a result, Tanzania and Kenya saw greater currency rate volatility than Uganda.</w:t>
      </w:r>
    </w:p>
    <w:p w14:paraId="05E2A30B" w14:textId="77777777" w:rsidR="00F21A70" w:rsidRPr="005D696E" w:rsidRDefault="00F21A70" w:rsidP="00F21A70">
      <w:pPr>
        <w:rPr>
          <w:b/>
          <w:bCs/>
          <w:i/>
          <w:iCs/>
        </w:rPr>
      </w:pPr>
      <w:bookmarkStart w:id="14" w:name="_Toc119534081"/>
      <w:r w:rsidRPr="005D696E">
        <w:rPr>
          <w:b/>
          <w:bCs/>
          <w:i/>
          <w:iCs/>
        </w:rPr>
        <w:t>Exchange Rate Volatility and Performance of Commercial Banks</w:t>
      </w:r>
      <w:bookmarkEnd w:id="14"/>
      <w:r w:rsidRPr="005D696E">
        <w:rPr>
          <w:b/>
          <w:bCs/>
          <w:i/>
          <w:iCs/>
        </w:rPr>
        <w:t xml:space="preserve"> </w:t>
      </w:r>
    </w:p>
    <w:p w14:paraId="471D1C1F" w14:textId="20292B88" w:rsidR="00F21A70" w:rsidRDefault="00F21A70" w:rsidP="00F21A70">
      <w:pPr>
        <w:rPr>
          <w:rFonts w:eastAsia="CIDFont+F1"/>
          <w:szCs w:val="24"/>
        </w:rPr>
      </w:pPr>
      <w:r w:rsidRPr="00E31FEF">
        <w:rPr>
          <w:rFonts w:eastAsia="CIDFont+F1"/>
          <w:szCs w:val="24"/>
        </w:rPr>
        <w:t>The estimation of Prob &gt; chi2 = 0.9</w:t>
      </w:r>
      <w:r>
        <w:rPr>
          <w:rFonts w:eastAsia="CIDFont+F1"/>
          <w:szCs w:val="24"/>
        </w:rPr>
        <w:t>9</w:t>
      </w:r>
      <w:r w:rsidRPr="00E31FEF">
        <w:rPr>
          <w:rFonts w:eastAsia="CIDFont+F1"/>
          <w:szCs w:val="24"/>
        </w:rPr>
        <w:t>3</w:t>
      </w:r>
      <w:r>
        <w:rPr>
          <w:rFonts w:eastAsia="CIDFont+F1"/>
          <w:szCs w:val="24"/>
        </w:rPr>
        <w:t>0</w:t>
      </w:r>
      <w:r w:rsidRPr="00E31FEF">
        <w:rPr>
          <w:rFonts w:eastAsia="CIDFont+F1"/>
          <w:szCs w:val="24"/>
        </w:rPr>
        <w:t xml:space="preserve"> was </w:t>
      </w:r>
      <w:r>
        <w:rPr>
          <w:rFonts w:eastAsia="CIDFont+F1"/>
          <w:szCs w:val="24"/>
        </w:rPr>
        <w:t>observed</w:t>
      </w:r>
      <w:r w:rsidRPr="00E31FEF">
        <w:rPr>
          <w:rFonts w:eastAsia="CIDFont+F1"/>
          <w:szCs w:val="24"/>
        </w:rPr>
        <w:t xml:space="preserve"> using the Hausman test.</w:t>
      </w:r>
      <w:r>
        <w:rPr>
          <w:rFonts w:eastAsia="CIDFont+F1"/>
          <w:szCs w:val="24"/>
        </w:rPr>
        <w:t xml:space="preserve"> </w:t>
      </w:r>
      <w:r w:rsidRPr="00E31FEF">
        <w:rPr>
          <w:rFonts w:eastAsia="CIDFont+F1"/>
          <w:szCs w:val="24"/>
        </w:rPr>
        <w:t>Random effects were accepted because the null hypothesis that random effects are superior to fixed effects was not rejected.</w:t>
      </w:r>
    </w:p>
    <w:p w14:paraId="42CCAB40" w14:textId="77777777" w:rsidR="00F21A70" w:rsidRPr="005D696E" w:rsidRDefault="00F21A70" w:rsidP="00F21A70">
      <w:pPr>
        <w:rPr>
          <w:b/>
          <w:bCs/>
          <w:i/>
        </w:rPr>
      </w:pPr>
      <w:bookmarkStart w:id="15" w:name="_Toc118669924"/>
      <w:r w:rsidRPr="005D696E">
        <w:rPr>
          <w:b/>
          <w:bCs/>
        </w:rPr>
        <w:t xml:space="preserve">Table </w:t>
      </w:r>
      <w:r w:rsidRPr="005D696E">
        <w:rPr>
          <w:b/>
          <w:bCs/>
          <w:i/>
        </w:rPr>
        <w:fldChar w:fldCharType="begin"/>
      </w:r>
      <w:r w:rsidRPr="005D696E">
        <w:rPr>
          <w:b/>
          <w:bCs/>
        </w:rPr>
        <w:instrText xml:space="preserve"> SEQ Table \* ARABIC \s 1 </w:instrText>
      </w:r>
      <w:r w:rsidRPr="005D696E">
        <w:rPr>
          <w:b/>
          <w:bCs/>
          <w:i/>
        </w:rPr>
        <w:fldChar w:fldCharType="separate"/>
      </w:r>
      <w:r w:rsidRPr="005D696E">
        <w:rPr>
          <w:b/>
          <w:bCs/>
          <w:noProof/>
        </w:rPr>
        <w:t>3</w:t>
      </w:r>
      <w:r w:rsidRPr="005D696E">
        <w:rPr>
          <w:b/>
          <w:bCs/>
          <w:i/>
        </w:rPr>
        <w:fldChar w:fldCharType="end"/>
      </w:r>
      <w:r w:rsidRPr="005D696E">
        <w:rPr>
          <w:b/>
          <w:bCs/>
          <w:i/>
        </w:rPr>
        <w:t>:</w:t>
      </w:r>
      <w:r w:rsidRPr="005D696E">
        <w:rPr>
          <w:b/>
          <w:bCs/>
        </w:rPr>
        <w:t xml:space="preserve"> Random Effects Model</w:t>
      </w:r>
      <w:bookmarkEnd w:id="15"/>
    </w:p>
    <w:p w14:paraId="40D295DC" w14:textId="77777777" w:rsidR="00F21A70" w:rsidRDefault="00F21A70" w:rsidP="00F21A70">
      <w:pPr>
        <w:pBdr>
          <w:top w:val="double" w:sz="4" w:space="1" w:color="auto"/>
        </w:pBdr>
        <w:adjustRightInd w:val="0"/>
        <w:spacing w:before="0" w:after="0"/>
        <w:rPr>
          <w:rFonts w:eastAsia="CIDFont+F1"/>
          <w:b/>
          <w:szCs w:val="24"/>
        </w:rPr>
      </w:pPr>
      <w:r>
        <w:rPr>
          <w:rFonts w:eastAsia="CIDFont+F1"/>
          <w:b/>
          <w:szCs w:val="24"/>
        </w:rPr>
        <w:t>Regression results for Random-effects</w:t>
      </w:r>
      <w:r>
        <w:rPr>
          <w:rFonts w:eastAsia="CIDFont+F1"/>
          <w:b/>
          <w:szCs w:val="24"/>
        </w:rPr>
        <w:tab/>
      </w:r>
    </w:p>
    <w:p w14:paraId="69CBEA11" w14:textId="77777777" w:rsidR="00F21A70" w:rsidRDefault="00F21A70" w:rsidP="00F21A70">
      <w:pPr>
        <w:adjustRightInd w:val="0"/>
        <w:spacing w:before="0" w:after="0"/>
        <w:rPr>
          <w:rFonts w:eastAsia="CIDFont+F1"/>
          <w:szCs w:val="24"/>
        </w:rPr>
      </w:pPr>
      <w:r>
        <w:rPr>
          <w:rFonts w:eastAsia="CIDFont+F1"/>
          <w:szCs w:val="24"/>
        </w:rPr>
        <w:t xml:space="preserve">Number of </w:t>
      </w:r>
      <w:proofErr w:type="spellStart"/>
      <w:r>
        <w:rPr>
          <w:rFonts w:eastAsia="CIDFont+F1"/>
          <w:szCs w:val="24"/>
        </w:rPr>
        <w:t>obs</w:t>
      </w:r>
      <w:proofErr w:type="spellEnd"/>
      <w:r>
        <w:rPr>
          <w:rFonts w:eastAsia="CIDFont+F1"/>
          <w:szCs w:val="24"/>
        </w:rPr>
        <w:t xml:space="preserve">     </w:t>
      </w:r>
      <w:r>
        <w:rPr>
          <w:rFonts w:eastAsia="CIDFont+F1"/>
          <w:szCs w:val="24"/>
        </w:rPr>
        <w:tab/>
        <w:t>= 56</w:t>
      </w:r>
    </w:p>
    <w:p w14:paraId="4EDF8383" w14:textId="77777777" w:rsidR="00F21A70" w:rsidRDefault="00F21A70" w:rsidP="00F21A70">
      <w:pPr>
        <w:adjustRightInd w:val="0"/>
        <w:spacing w:before="0" w:after="0"/>
        <w:rPr>
          <w:rFonts w:eastAsia="CIDFont+F1"/>
          <w:szCs w:val="24"/>
        </w:rPr>
      </w:pPr>
      <w:r>
        <w:rPr>
          <w:rFonts w:eastAsia="CIDFont+F1"/>
          <w:szCs w:val="24"/>
        </w:rPr>
        <w:t>R-sq:</w:t>
      </w:r>
      <w:r>
        <w:rPr>
          <w:rFonts w:eastAsia="CIDFont+F1"/>
          <w:szCs w:val="24"/>
        </w:rPr>
        <w:tab/>
      </w:r>
      <w:r>
        <w:rPr>
          <w:rFonts w:eastAsia="CIDFont+F1"/>
          <w:szCs w:val="24"/>
        </w:rPr>
        <w:tab/>
      </w:r>
      <w:r>
        <w:rPr>
          <w:rFonts w:eastAsia="CIDFont+F1"/>
          <w:szCs w:val="24"/>
        </w:rPr>
        <w:tab/>
        <w:t>= 0.8699</w:t>
      </w:r>
      <w:r>
        <w:rPr>
          <w:rFonts w:eastAsia="CIDFont+F1"/>
          <w:szCs w:val="24"/>
        </w:rPr>
        <w:tab/>
      </w:r>
    </w:p>
    <w:p w14:paraId="6FC523A9" w14:textId="77777777" w:rsidR="00F21A70" w:rsidRDefault="00F21A70" w:rsidP="00F21A70">
      <w:pPr>
        <w:adjustRightInd w:val="0"/>
        <w:spacing w:before="0" w:after="0"/>
        <w:rPr>
          <w:rFonts w:eastAsia="CIDFont+F1"/>
          <w:szCs w:val="24"/>
        </w:rPr>
      </w:pPr>
      <w:r>
        <w:rPr>
          <w:rFonts w:eastAsia="CIDFont+F1"/>
          <w:szCs w:val="24"/>
        </w:rPr>
        <w:t xml:space="preserve">Wald chi2(6)   </w:t>
      </w:r>
      <w:r>
        <w:rPr>
          <w:rFonts w:eastAsia="CIDFont+F1"/>
          <w:szCs w:val="24"/>
        </w:rPr>
        <w:tab/>
        <w:t>= 327.51</w:t>
      </w:r>
    </w:p>
    <w:p w14:paraId="78F5F9E2" w14:textId="77777777" w:rsidR="00F21A70" w:rsidRDefault="00F21A70" w:rsidP="00F21A70">
      <w:pPr>
        <w:adjustRightInd w:val="0"/>
        <w:spacing w:before="0" w:after="0"/>
        <w:rPr>
          <w:rFonts w:eastAsia="CIDFont+F1"/>
          <w:szCs w:val="24"/>
        </w:rPr>
      </w:pPr>
      <w:r>
        <w:rPr>
          <w:rFonts w:eastAsia="CIDFont+F1"/>
          <w:szCs w:val="24"/>
        </w:rPr>
        <w:t xml:space="preserve">Prob &gt; chi2       </w:t>
      </w:r>
      <w:r>
        <w:rPr>
          <w:rFonts w:eastAsia="CIDFont+F1"/>
          <w:szCs w:val="24"/>
        </w:rPr>
        <w:tab/>
        <w:t>= 0.0000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21A70" w14:paraId="03A4D3FC" w14:textId="77777777" w:rsidTr="00B50A79">
        <w:tc>
          <w:tcPr>
            <w:tcW w:w="1288" w:type="dxa"/>
            <w:tcBorders>
              <w:top w:val="double" w:sz="4" w:space="0" w:color="auto"/>
              <w:left w:val="nil"/>
              <w:bottom w:val="double" w:sz="4" w:space="0" w:color="auto"/>
              <w:right w:val="nil"/>
            </w:tcBorders>
            <w:hideMark/>
          </w:tcPr>
          <w:p w14:paraId="0F805E19" w14:textId="77777777" w:rsidR="00F21A70" w:rsidRDefault="00F21A70" w:rsidP="00B50A79">
            <w:pPr>
              <w:autoSpaceDE w:val="0"/>
              <w:autoSpaceDN w:val="0"/>
              <w:adjustRightInd w:val="0"/>
              <w:spacing w:before="0"/>
              <w:rPr>
                <w:rFonts w:eastAsia="CIDFont+F1"/>
                <w:b/>
                <w:szCs w:val="24"/>
              </w:rPr>
            </w:pPr>
            <w:r>
              <w:rPr>
                <w:rFonts w:eastAsia="CIDFont+F1"/>
                <w:b/>
                <w:szCs w:val="24"/>
              </w:rPr>
              <w:t>ROA</w:t>
            </w:r>
          </w:p>
        </w:tc>
        <w:tc>
          <w:tcPr>
            <w:tcW w:w="1288" w:type="dxa"/>
            <w:tcBorders>
              <w:top w:val="double" w:sz="4" w:space="0" w:color="auto"/>
              <w:left w:val="nil"/>
              <w:bottom w:val="double" w:sz="4" w:space="0" w:color="auto"/>
              <w:right w:val="nil"/>
            </w:tcBorders>
            <w:hideMark/>
          </w:tcPr>
          <w:p w14:paraId="4AA69676" w14:textId="77777777" w:rsidR="00F21A70" w:rsidRDefault="00F21A70" w:rsidP="00B50A79">
            <w:pPr>
              <w:autoSpaceDE w:val="0"/>
              <w:autoSpaceDN w:val="0"/>
              <w:adjustRightInd w:val="0"/>
              <w:spacing w:before="0"/>
              <w:rPr>
                <w:rFonts w:eastAsia="CIDFont+F1"/>
                <w:b/>
                <w:szCs w:val="24"/>
              </w:rPr>
            </w:pPr>
            <w:r>
              <w:rPr>
                <w:rFonts w:eastAsia="CIDFont+F1"/>
                <w:b/>
                <w:szCs w:val="24"/>
              </w:rPr>
              <w:t xml:space="preserve">Coef.          </w:t>
            </w:r>
          </w:p>
        </w:tc>
        <w:tc>
          <w:tcPr>
            <w:tcW w:w="1288" w:type="dxa"/>
            <w:tcBorders>
              <w:top w:val="double" w:sz="4" w:space="0" w:color="auto"/>
              <w:left w:val="nil"/>
              <w:bottom w:val="double" w:sz="4" w:space="0" w:color="auto"/>
              <w:right w:val="nil"/>
            </w:tcBorders>
            <w:hideMark/>
          </w:tcPr>
          <w:p w14:paraId="73E6FB3D" w14:textId="77777777" w:rsidR="00F21A70" w:rsidRDefault="00F21A70" w:rsidP="00B50A79">
            <w:pPr>
              <w:autoSpaceDE w:val="0"/>
              <w:autoSpaceDN w:val="0"/>
              <w:adjustRightInd w:val="0"/>
              <w:spacing w:before="0"/>
              <w:rPr>
                <w:rFonts w:eastAsia="CIDFont+F1"/>
                <w:b/>
                <w:szCs w:val="24"/>
              </w:rPr>
            </w:pPr>
            <w:r>
              <w:rPr>
                <w:rFonts w:eastAsia="CIDFont+F1"/>
                <w:b/>
                <w:szCs w:val="24"/>
              </w:rPr>
              <w:t>Std. Err.</w:t>
            </w:r>
          </w:p>
        </w:tc>
        <w:tc>
          <w:tcPr>
            <w:tcW w:w="1288" w:type="dxa"/>
            <w:tcBorders>
              <w:top w:val="double" w:sz="4" w:space="0" w:color="auto"/>
              <w:left w:val="nil"/>
              <w:bottom w:val="double" w:sz="4" w:space="0" w:color="auto"/>
              <w:right w:val="nil"/>
            </w:tcBorders>
            <w:hideMark/>
          </w:tcPr>
          <w:p w14:paraId="7F415336" w14:textId="77777777" w:rsidR="00F21A70" w:rsidRDefault="00F21A70" w:rsidP="00B50A79">
            <w:pPr>
              <w:autoSpaceDE w:val="0"/>
              <w:autoSpaceDN w:val="0"/>
              <w:adjustRightInd w:val="0"/>
              <w:spacing w:before="0"/>
              <w:rPr>
                <w:rFonts w:eastAsia="CIDFont+F1"/>
                <w:b/>
                <w:szCs w:val="24"/>
              </w:rPr>
            </w:pPr>
            <w:r>
              <w:rPr>
                <w:rFonts w:eastAsia="CIDFont+F1"/>
                <w:b/>
                <w:szCs w:val="24"/>
              </w:rPr>
              <w:t>z</w:t>
            </w:r>
          </w:p>
        </w:tc>
        <w:tc>
          <w:tcPr>
            <w:tcW w:w="1288" w:type="dxa"/>
            <w:tcBorders>
              <w:top w:val="double" w:sz="4" w:space="0" w:color="auto"/>
              <w:left w:val="nil"/>
              <w:bottom w:val="double" w:sz="4" w:space="0" w:color="auto"/>
              <w:right w:val="nil"/>
            </w:tcBorders>
            <w:hideMark/>
          </w:tcPr>
          <w:p w14:paraId="082228CB" w14:textId="77777777" w:rsidR="00F21A70" w:rsidRDefault="00F21A70" w:rsidP="00B50A79">
            <w:pPr>
              <w:autoSpaceDE w:val="0"/>
              <w:autoSpaceDN w:val="0"/>
              <w:adjustRightInd w:val="0"/>
              <w:spacing w:before="0"/>
              <w:rPr>
                <w:rFonts w:eastAsia="CIDFont+F1"/>
                <w:b/>
                <w:szCs w:val="24"/>
              </w:rPr>
            </w:pPr>
            <w:r>
              <w:rPr>
                <w:rFonts w:eastAsia="CIDFont+F1"/>
                <w:b/>
                <w:szCs w:val="24"/>
              </w:rPr>
              <w:t xml:space="preserve">P&gt;z     </w:t>
            </w:r>
          </w:p>
        </w:tc>
        <w:tc>
          <w:tcPr>
            <w:tcW w:w="1288" w:type="dxa"/>
            <w:tcBorders>
              <w:top w:val="double" w:sz="4" w:space="0" w:color="auto"/>
              <w:left w:val="nil"/>
              <w:bottom w:val="double" w:sz="4" w:space="0" w:color="auto"/>
              <w:right w:val="nil"/>
            </w:tcBorders>
            <w:hideMark/>
          </w:tcPr>
          <w:p w14:paraId="2183B60F" w14:textId="77777777" w:rsidR="00F21A70" w:rsidRDefault="00F21A70" w:rsidP="00B50A79">
            <w:pPr>
              <w:autoSpaceDE w:val="0"/>
              <w:autoSpaceDN w:val="0"/>
              <w:adjustRightInd w:val="0"/>
              <w:spacing w:before="0"/>
              <w:rPr>
                <w:rFonts w:eastAsia="CIDFont+F1"/>
                <w:b/>
                <w:szCs w:val="24"/>
              </w:rPr>
            </w:pPr>
            <w:r>
              <w:rPr>
                <w:rFonts w:eastAsia="CIDFont+F1"/>
                <w:b/>
                <w:szCs w:val="24"/>
              </w:rPr>
              <w:t xml:space="preserve">95% </w:t>
            </w:r>
          </w:p>
        </w:tc>
        <w:tc>
          <w:tcPr>
            <w:tcW w:w="1288" w:type="dxa"/>
            <w:tcBorders>
              <w:top w:val="double" w:sz="4" w:space="0" w:color="auto"/>
              <w:left w:val="nil"/>
              <w:bottom w:val="double" w:sz="4" w:space="0" w:color="auto"/>
              <w:right w:val="nil"/>
            </w:tcBorders>
            <w:hideMark/>
          </w:tcPr>
          <w:p w14:paraId="54EC2DC5" w14:textId="77777777" w:rsidR="00F21A70" w:rsidRDefault="00F21A70" w:rsidP="00B50A79">
            <w:pPr>
              <w:autoSpaceDE w:val="0"/>
              <w:autoSpaceDN w:val="0"/>
              <w:adjustRightInd w:val="0"/>
              <w:spacing w:before="0"/>
              <w:rPr>
                <w:rFonts w:eastAsia="CIDFont+F1"/>
                <w:b/>
                <w:szCs w:val="24"/>
              </w:rPr>
            </w:pPr>
            <w:r>
              <w:rPr>
                <w:rFonts w:eastAsia="CIDFont+F1"/>
                <w:b/>
                <w:szCs w:val="24"/>
              </w:rPr>
              <w:t>Conf. Interval</w:t>
            </w:r>
          </w:p>
        </w:tc>
      </w:tr>
      <w:tr w:rsidR="00F21A70" w14:paraId="6DECD36E" w14:textId="77777777" w:rsidTr="00B50A79">
        <w:tc>
          <w:tcPr>
            <w:tcW w:w="1288" w:type="dxa"/>
            <w:tcBorders>
              <w:top w:val="double" w:sz="4" w:space="0" w:color="auto"/>
              <w:left w:val="nil"/>
              <w:bottom w:val="nil"/>
              <w:right w:val="nil"/>
            </w:tcBorders>
            <w:hideMark/>
          </w:tcPr>
          <w:p w14:paraId="65650FDC" w14:textId="77777777" w:rsidR="00F21A70" w:rsidRDefault="00F21A70" w:rsidP="00B50A79">
            <w:pPr>
              <w:autoSpaceDE w:val="0"/>
              <w:autoSpaceDN w:val="0"/>
              <w:adjustRightInd w:val="0"/>
              <w:spacing w:before="0"/>
              <w:rPr>
                <w:rFonts w:eastAsia="CIDFont+F1"/>
                <w:szCs w:val="24"/>
              </w:rPr>
            </w:pPr>
            <w:r>
              <w:rPr>
                <w:rFonts w:eastAsia="CIDFont+F1"/>
                <w:szCs w:val="24"/>
              </w:rPr>
              <w:t>CAP</w:t>
            </w:r>
          </w:p>
        </w:tc>
        <w:tc>
          <w:tcPr>
            <w:tcW w:w="1288" w:type="dxa"/>
            <w:tcBorders>
              <w:top w:val="double" w:sz="4" w:space="0" w:color="auto"/>
              <w:left w:val="nil"/>
              <w:bottom w:val="nil"/>
              <w:right w:val="nil"/>
            </w:tcBorders>
            <w:hideMark/>
          </w:tcPr>
          <w:p w14:paraId="711E564B" w14:textId="77777777" w:rsidR="00F21A70" w:rsidRDefault="00F21A70" w:rsidP="00B50A79">
            <w:pPr>
              <w:autoSpaceDE w:val="0"/>
              <w:autoSpaceDN w:val="0"/>
              <w:adjustRightInd w:val="0"/>
              <w:spacing w:before="0"/>
              <w:rPr>
                <w:rFonts w:eastAsia="CIDFont+F1"/>
                <w:szCs w:val="24"/>
              </w:rPr>
            </w:pPr>
            <w:r>
              <w:rPr>
                <w:szCs w:val="24"/>
              </w:rPr>
              <w:t xml:space="preserve">.123576   </w:t>
            </w:r>
          </w:p>
        </w:tc>
        <w:tc>
          <w:tcPr>
            <w:tcW w:w="1288" w:type="dxa"/>
            <w:tcBorders>
              <w:top w:val="double" w:sz="4" w:space="0" w:color="auto"/>
              <w:left w:val="nil"/>
              <w:bottom w:val="nil"/>
              <w:right w:val="nil"/>
            </w:tcBorders>
            <w:hideMark/>
          </w:tcPr>
          <w:p w14:paraId="33E16040" w14:textId="77777777" w:rsidR="00F21A70" w:rsidRDefault="00F21A70" w:rsidP="00B50A79">
            <w:pPr>
              <w:autoSpaceDE w:val="0"/>
              <w:autoSpaceDN w:val="0"/>
              <w:adjustRightInd w:val="0"/>
              <w:spacing w:before="0"/>
              <w:rPr>
                <w:rFonts w:eastAsia="CIDFont+F1"/>
                <w:szCs w:val="24"/>
              </w:rPr>
            </w:pPr>
            <w:r>
              <w:rPr>
                <w:szCs w:val="24"/>
              </w:rPr>
              <w:t xml:space="preserve">.0641644     </w:t>
            </w:r>
          </w:p>
        </w:tc>
        <w:tc>
          <w:tcPr>
            <w:tcW w:w="1288" w:type="dxa"/>
            <w:tcBorders>
              <w:top w:val="double" w:sz="4" w:space="0" w:color="auto"/>
              <w:left w:val="nil"/>
              <w:bottom w:val="nil"/>
              <w:right w:val="nil"/>
            </w:tcBorders>
            <w:hideMark/>
          </w:tcPr>
          <w:p w14:paraId="68364B64" w14:textId="77777777" w:rsidR="00F21A70" w:rsidRDefault="00F21A70" w:rsidP="00B50A79">
            <w:pPr>
              <w:autoSpaceDE w:val="0"/>
              <w:autoSpaceDN w:val="0"/>
              <w:adjustRightInd w:val="0"/>
              <w:spacing w:before="0"/>
              <w:rPr>
                <w:rFonts w:eastAsia="CIDFont+F1"/>
                <w:szCs w:val="24"/>
              </w:rPr>
            </w:pPr>
            <w:r>
              <w:rPr>
                <w:szCs w:val="24"/>
              </w:rPr>
              <w:t>1.93</w:t>
            </w:r>
          </w:p>
        </w:tc>
        <w:tc>
          <w:tcPr>
            <w:tcW w:w="1288" w:type="dxa"/>
            <w:tcBorders>
              <w:top w:val="double" w:sz="4" w:space="0" w:color="auto"/>
              <w:left w:val="nil"/>
              <w:bottom w:val="nil"/>
              <w:right w:val="nil"/>
            </w:tcBorders>
            <w:hideMark/>
          </w:tcPr>
          <w:p w14:paraId="05F73ADC" w14:textId="77777777" w:rsidR="00F21A70" w:rsidRDefault="00F21A70" w:rsidP="00B50A79">
            <w:pPr>
              <w:autoSpaceDE w:val="0"/>
              <w:autoSpaceDN w:val="0"/>
              <w:adjustRightInd w:val="0"/>
              <w:spacing w:before="0"/>
              <w:rPr>
                <w:rFonts w:eastAsia="CIDFont+F1"/>
                <w:szCs w:val="24"/>
              </w:rPr>
            </w:pPr>
            <w:r>
              <w:rPr>
                <w:szCs w:val="24"/>
              </w:rPr>
              <w:t>0.054</w:t>
            </w:r>
          </w:p>
        </w:tc>
        <w:tc>
          <w:tcPr>
            <w:tcW w:w="1288" w:type="dxa"/>
            <w:tcBorders>
              <w:top w:val="double" w:sz="4" w:space="0" w:color="auto"/>
              <w:left w:val="nil"/>
              <w:bottom w:val="nil"/>
              <w:right w:val="nil"/>
            </w:tcBorders>
            <w:hideMark/>
          </w:tcPr>
          <w:p w14:paraId="7899C33D" w14:textId="77777777" w:rsidR="00F21A70" w:rsidRDefault="00F21A70" w:rsidP="00B50A79">
            <w:pPr>
              <w:autoSpaceDE w:val="0"/>
              <w:autoSpaceDN w:val="0"/>
              <w:adjustRightInd w:val="0"/>
              <w:spacing w:before="0"/>
              <w:rPr>
                <w:rFonts w:eastAsia="CIDFont+F1"/>
                <w:szCs w:val="24"/>
              </w:rPr>
            </w:pPr>
            <w:r>
              <w:rPr>
                <w:szCs w:val="24"/>
              </w:rPr>
              <w:t xml:space="preserve">-.002184     </w:t>
            </w:r>
          </w:p>
        </w:tc>
        <w:tc>
          <w:tcPr>
            <w:tcW w:w="1288" w:type="dxa"/>
            <w:tcBorders>
              <w:top w:val="double" w:sz="4" w:space="0" w:color="auto"/>
              <w:left w:val="nil"/>
              <w:bottom w:val="nil"/>
              <w:right w:val="nil"/>
            </w:tcBorders>
            <w:hideMark/>
          </w:tcPr>
          <w:p w14:paraId="3DE3F9A4" w14:textId="77777777" w:rsidR="00F21A70" w:rsidRDefault="00F21A70" w:rsidP="00B50A79">
            <w:pPr>
              <w:autoSpaceDE w:val="0"/>
              <w:autoSpaceDN w:val="0"/>
              <w:adjustRightInd w:val="0"/>
              <w:spacing w:before="0"/>
              <w:rPr>
                <w:rFonts w:eastAsia="CIDFont+F1"/>
                <w:szCs w:val="24"/>
              </w:rPr>
            </w:pPr>
            <w:r>
              <w:rPr>
                <w:szCs w:val="24"/>
              </w:rPr>
              <w:t>.249336</w:t>
            </w:r>
          </w:p>
        </w:tc>
      </w:tr>
      <w:tr w:rsidR="00F21A70" w14:paraId="08D86A77" w14:textId="77777777" w:rsidTr="00B50A79">
        <w:tc>
          <w:tcPr>
            <w:tcW w:w="1288" w:type="dxa"/>
            <w:tcBorders>
              <w:top w:val="nil"/>
              <w:left w:val="nil"/>
              <w:bottom w:val="nil"/>
              <w:right w:val="nil"/>
            </w:tcBorders>
            <w:hideMark/>
          </w:tcPr>
          <w:p w14:paraId="31780E69" w14:textId="77777777" w:rsidR="00F21A70" w:rsidRDefault="00F21A70" w:rsidP="00B50A79">
            <w:pPr>
              <w:autoSpaceDE w:val="0"/>
              <w:autoSpaceDN w:val="0"/>
              <w:adjustRightInd w:val="0"/>
              <w:spacing w:before="0"/>
              <w:rPr>
                <w:rFonts w:eastAsia="CIDFont+F1"/>
                <w:szCs w:val="24"/>
              </w:rPr>
            </w:pPr>
            <w:r>
              <w:rPr>
                <w:rFonts w:eastAsia="CIDFont+F1"/>
                <w:szCs w:val="24"/>
              </w:rPr>
              <w:t>CRE</w:t>
            </w:r>
          </w:p>
        </w:tc>
        <w:tc>
          <w:tcPr>
            <w:tcW w:w="1288" w:type="dxa"/>
            <w:tcBorders>
              <w:top w:val="nil"/>
              <w:left w:val="nil"/>
              <w:bottom w:val="nil"/>
              <w:right w:val="nil"/>
            </w:tcBorders>
            <w:hideMark/>
          </w:tcPr>
          <w:p w14:paraId="65CD97E7" w14:textId="77777777" w:rsidR="00F21A70" w:rsidRDefault="00F21A70" w:rsidP="00B50A79">
            <w:pPr>
              <w:autoSpaceDE w:val="0"/>
              <w:autoSpaceDN w:val="0"/>
              <w:adjustRightInd w:val="0"/>
              <w:spacing w:before="0"/>
              <w:rPr>
                <w:rFonts w:eastAsia="CIDFont+F1"/>
                <w:szCs w:val="24"/>
              </w:rPr>
            </w:pPr>
            <w:r>
              <w:rPr>
                <w:szCs w:val="24"/>
              </w:rPr>
              <w:t xml:space="preserve">-.0533681   </w:t>
            </w:r>
          </w:p>
        </w:tc>
        <w:tc>
          <w:tcPr>
            <w:tcW w:w="1288" w:type="dxa"/>
            <w:tcBorders>
              <w:top w:val="nil"/>
              <w:left w:val="nil"/>
              <w:bottom w:val="nil"/>
              <w:right w:val="nil"/>
            </w:tcBorders>
            <w:hideMark/>
          </w:tcPr>
          <w:p w14:paraId="1B4956E1" w14:textId="77777777" w:rsidR="00F21A70" w:rsidRDefault="00F21A70" w:rsidP="00B50A79">
            <w:pPr>
              <w:autoSpaceDE w:val="0"/>
              <w:autoSpaceDN w:val="0"/>
              <w:adjustRightInd w:val="0"/>
              <w:spacing w:before="0"/>
              <w:rPr>
                <w:rFonts w:eastAsia="CIDFont+F1"/>
                <w:szCs w:val="24"/>
              </w:rPr>
            </w:pPr>
            <w:r>
              <w:rPr>
                <w:szCs w:val="24"/>
              </w:rPr>
              <w:t>.0162664</w:t>
            </w:r>
          </w:p>
        </w:tc>
        <w:tc>
          <w:tcPr>
            <w:tcW w:w="1288" w:type="dxa"/>
            <w:tcBorders>
              <w:top w:val="nil"/>
              <w:left w:val="nil"/>
              <w:bottom w:val="nil"/>
              <w:right w:val="nil"/>
            </w:tcBorders>
            <w:hideMark/>
          </w:tcPr>
          <w:p w14:paraId="6796C709" w14:textId="77777777" w:rsidR="00F21A70" w:rsidRDefault="00F21A70" w:rsidP="00B50A79">
            <w:pPr>
              <w:autoSpaceDE w:val="0"/>
              <w:autoSpaceDN w:val="0"/>
              <w:adjustRightInd w:val="0"/>
              <w:spacing w:before="0"/>
              <w:rPr>
                <w:rFonts w:eastAsia="CIDFont+F1"/>
                <w:szCs w:val="24"/>
              </w:rPr>
            </w:pPr>
            <w:r>
              <w:rPr>
                <w:szCs w:val="24"/>
              </w:rPr>
              <w:t>-3.28</w:t>
            </w:r>
          </w:p>
        </w:tc>
        <w:tc>
          <w:tcPr>
            <w:tcW w:w="1288" w:type="dxa"/>
            <w:tcBorders>
              <w:top w:val="nil"/>
              <w:left w:val="nil"/>
              <w:bottom w:val="nil"/>
              <w:right w:val="nil"/>
            </w:tcBorders>
            <w:hideMark/>
          </w:tcPr>
          <w:p w14:paraId="1E5E812F" w14:textId="77777777" w:rsidR="00F21A70" w:rsidRDefault="00F21A70" w:rsidP="00B50A79">
            <w:pPr>
              <w:autoSpaceDE w:val="0"/>
              <w:autoSpaceDN w:val="0"/>
              <w:adjustRightInd w:val="0"/>
              <w:spacing w:before="0"/>
              <w:rPr>
                <w:rFonts w:eastAsia="CIDFont+F1"/>
                <w:szCs w:val="24"/>
              </w:rPr>
            </w:pPr>
            <w:r>
              <w:rPr>
                <w:szCs w:val="24"/>
              </w:rPr>
              <w:t xml:space="preserve">0.001    </w:t>
            </w:r>
          </w:p>
        </w:tc>
        <w:tc>
          <w:tcPr>
            <w:tcW w:w="1288" w:type="dxa"/>
            <w:tcBorders>
              <w:top w:val="nil"/>
              <w:left w:val="nil"/>
              <w:bottom w:val="nil"/>
              <w:right w:val="nil"/>
            </w:tcBorders>
            <w:hideMark/>
          </w:tcPr>
          <w:p w14:paraId="2A8EA48B" w14:textId="77777777" w:rsidR="00F21A70" w:rsidRDefault="00F21A70" w:rsidP="00B50A79">
            <w:pPr>
              <w:autoSpaceDE w:val="0"/>
              <w:autoSpaceDN w:val="0"/>
              <w:adjustRightInd w:val="0"/>
              <w:spacing w:before="0"/>
              <w:rPr>
                <w:rFonts w:eastAsia="CIDFont+F1"/>
                <w:szCs w:val="24"/>
              </w:rPr>
            </w:pPr>
            <w:r>
              <w:rPr>
                <w:szCs w:val="24"/>
              </w:rPr>
              <w:t xml:space="preserve">-.0852496   </w:t>
            </w:r>
          </w:p>
        </w:tc>
        <w:tc>
          <w:tcPr>
            <w:tcW w:w="1288" w:type="dxa"/>
            <w:tcBorders>
              <w:top w:val="nil"/>
              <w:left w:val="nil"/>
              <w:bottom w:val="nil"/>
              <w:right w:val="nil"/>
            </w:tcBorders>
            <w:hideMark/>
          </w:tcPr>
          <w:p w14:paraId="3D4B3260" w14:textId="77777777" w:rsidR="00F21A70" w:rsidRDefault="00F21A70" w:rsidP="00B50A79">
            <w:pPr>
              <w:autoSpaceDE w:val="0"/>
              <w:autoSpaceDN w:val="0"/>
              <w:adjustRightInd w:val="0"/>
              <w:spacing w:before="0"/>
              <w:rPr>
                <w:rFonts w:eastAsia="CIDFont+F1"/>
                <w:szCs w:val="24"/>
              </w:rPr>
            </w:pPr>
            <w:r>
              <w:rPr>
                <w:szCs w:val="24"/>
              </w:rPr>
              <w:t>-.0214866</w:t>
            </w:r>
          </w:p>
        </w:tc>
      </w:tr>
      <w:tr w:rsidR="00F21A70" w14:paraId="04908AB9" w14:textId="77777777" w:rsidTr="00B50A79">
        <w:tc>
          <w:tcPr>
            <w:tcW w:w="1288" w:type="dxa"/>
            <w:tcBorders>
              <w:top w:val="nil"/>
              <w:left w:val="nil"/>
              <w:bottom w:val="nil"/>
              <w:right w:val="nil"/>
            </w:tcBorders>
            <w:hideMark/>
          </w:tcPr>
          <w:p w14:paraId="717905AF" w14:textId="77777777" w:rsidR="00F21A70" w:rsidRDefault="00F21A70" w:rsidP="00B50A79">
            <w:pPr>
              <w:autoSpaceDE w:val="0"/>
              <w:autoSpaceDN w:val="0"/>
              <w:adjustRightInd w:val="0"/>
              <w:spacing w:before="0"/>
              <w:rPr>
                <w:rFonts w:eastAsia="CIDFont+F1"/>
                <w:szCs w:val="24"/>
              </w:rPr>
            </w:pPr>
            <w:r>
              <w:rPr>
                <w:rFonts w:eastAsia="CIDFont+F1"/>
                <w:szCs w:val="24"/>
              </w:rPr>
              <w:t>GDP</w:t>
            </w:r>
          </w:p>
        </w:tc>
        <w:tc>
          <w:tcPr>
            <w:tcW w:w="1288" w:type="dxa"/>
            <w:tcBorders>
              <w:top w:val="nil"/>
              <w:left w:val="nil"/>
              <w:bottom w:val="nil"/>
              <w:right w:val="nil"/>
            </w:tcBorders>
            <w:hideMark/>
          </w:tcPr>
          <w:p w14:paraId="4ADBFC17" w14:textId="77777777" w:rsidR="00F21A70" w:rsidRDefault="00F21A70" w:rsidP="00B50A79">
            <w:pPr>
              <w:autoSpaceDE w:val="0"/>
              <w:autoSpaceDN w:val="0"/>
              <w:adjustRightInd w:val="0"/>
              <w:spacing w:before="0"/>
              <w:rPr>
                <w:rFonts w:eastAsia="CIDFont+F1"/>
                <w:szCs w:val="24"/>
              </w:rPr>
            </w:pPr>
            <w:r>
              <w:rPr>
                <w:szCs w:val="24"/>
              </w:rPr>
              <w:t xml:space="preserve">.0195805   </w:t>
            </w:r>
          </w:p>
        </w:tc>
        <w:tc>
          <w:tcPr>
            <w:tcW w:w="1288" w:type="dxa"/>
            <w:tcBorders>
              <w:top w:val="nil"/>
              <w:left w:val="nil"/>
              <w:bottom w:val="nil"/>
              <w:right w:val="nil"/>
            </w:tcBorders>
            <w:hideMark/>
          </w:tcPr>
          <w:p w14:paraId="7462DF62" w14:textId="77777777" w:rsidR="00F21A70" w:rsidRDefault="00F21A70" w:rsidP="00B50A79">
            <w:pPr>
              <w:autoSpaceDE w:val="0"/>
              <w:autoSpaceDN w:val="0"/>
              <w:adjustRightInd w:val="0"/>
              <w:spacing w:before="0"/>
              <w:rPr>
                <w:rFonts w:eastAsia="CIDFont+F1"/>
                <w:szCs w:val="24"/>
              </w:rPr>
            </w:pPr>
            <w:r>
              <w:rPr>
                <w:szCs w:val="24"/>
              </w:rPr>
              <w:t>.0712248</w:t>
            </w:r>
          </w:p>
        </w:tc>
        <w:tc>
          <w:tcPr>
            <w:tcW w:w="1288" w:type="dxa"/>
            <w:tcBorders>
              <w:top w:val="nil"/>
              <w:left w:val="nil"/>
              <w:bottom w:val="nil"/>
              <w:right w:val="nil"/>
            </w:tcBorders>
            <w:hideMark/>
          </w:tcPr>
          <w:p w14:paraId="1020BB6D" w14:textId="77777777" w:rsidR="00F21A70" w:rsidRDefault="00F21A70" w:rsidP="00B50A79">
            <w:pPr>
              <w:autoSpaceDE w:val="0"/>
              <w:autoSpaceDN w:val="0"/>
              <w:adjustRightInd w:val="0"/>
              <w:spacing w:before="0"/>
              <w:rPr>
                <w:rFonts w:eastAsia="CIDFont+F1"/>
                <w:szCs w:val="24"/>
              </w:rPr>
            </w:pPr>
            <w:r>
              <w:rPr>
                <w:szCs w:val="24"/>
              </w:rPr>
              <w:t>0.27</w:t>
            </w:r>
          </w:p>
        </w:tc>
        <w:tc>
          <w:tcPr>
            <w:tcW w:w="1288" w:type="dxa"/>
            <w:tcBorders>
              <w:top w:val="nil"/>
              <w:left w:val="nil"/>
              <w:bottom w:val="nil"/>
              <w:right w:val="nil"/>
            </w:tcBorders>
            <w:hideMark/>
          </w:tcPr>
          <w:p w14:paraId="52C2EBC9" w14:textId="77777777" w:rsidR="00F21A70" w:rsidRDefault="00F21A70" w:rsidP="00B50A79">
            <w:pPr>
              <w:autoSpaceDE w:val="0"/>
              <w:autoSpaceDN w:val="0"/>
              <w:adjustRightInd w:val="0"/>
              <w:spacing w:before="0"/>
              <w:rPr>
                <w:rFonts w:eastAsia="CIDFont+F1"/>
                <w:szCs w:val="24"/>
              </w:rPr>
            </w:pPr>
            <w:r>
              <w:rPr>
                <w:szCs w:val="24"/>
              </w:rPr>
              <w:t xml:space="preserve">0.783    </w:t>
            </w:r>
          </w:p>
        </w:tc>
        <w:tc>
          <w:tcPr>
            <w:tcW w:w="1288" w:type="dxa"/>
            <w:tcBorders>
              <w:top w:val="nil"/>
              <w:left w:val="nil"/>
              <w:bottom w:val="nil"/>
              <w:right w:val="nil"/>
            </w:tcBorders>
            <w:hideMark/>
          </w:tcPr>
          <w:p w14:paraId="1ADC57C9" w14:textId="77777777" w:rsidR="00F21A70" w:rsidRDefault="00F21A70" w:rsidP="00B50A79">
            <w:pPr>
              <w:autoSpaceDE w:val="0"/>
              <w:autoSpaceDN w:val="0"/>
              <w:adjustRightInd w:val="0"/>
              <w:spacing w:before="0"/>
              <w:rPr>
                <w:rFonts w:eastAsia="CIDFont+F1"/>
                <w:szCs w:val="24"/>
              </w:rPr>
            </w:pPr>
            <w:r>
              <w:rPr>
                <w:szCs w:val="24"/>
              </w:rPr>
              <w:t xml:space="preserve">-.1200175    </w:t>
            </w:r>
          </w:p>
        </w:tc>
        <w:tc>
          <w:tcPr>
            <w:tcW w:w="1288" w:type="dxa"/>
            <w:tcBorders>
              <w:top w:val="nil"/>
              <w:left w:val="nil"/>
              <w:bottom w:val="nil"/>
              <w:right w:val="nil"/>
            </w:tcBorders>
            <w:hideMark/>
          </w:tcPr>
          <w:p w14:paraId="122084BA" w14:textId="77777777" w:rsidR="00F21A70" w:rsidRDefault="00F21A70" w:rsidP="00B50A79">
            <w:pPr>
              <w:autoSpaceDE w:val="0"/>
              <w:autoSpaceDN w:val="0"/>
              <w:adjustRightInd w:val="0"/>
              <w:spacing w:before="0"/>
              <w:rPr>
                <w:rFonts w:eastAsia="CIDFont+F1"/>
                <w:szCs w:val="24"/>
              </w:rPr>
            </w:pPr>
            <w:r>
              <w:rPr>
                <w:szCs w:val="24"/>
              </w:rPr>
              <w:t>.1591785</w:t>
            </w:r>
          </w:p>
        </w:tc>
      </w:tr>
      <w:tr w:rsidR="00F21A70" w14:paraId="4FDB8ECE" w14:textId="77777777" w:rsidTr="00B50A79">
        <w:tc>
          <w:tcPr>
            <w:tcW w:w="1288" w:type="dxa"/>
            <w:tcBorders>
              <w:top w:val="nil"/>
              <w:left w:val="nil"/>
              <w:bottom w:val="nil"/>
              <w:right w:val="nil"/>
            </w:tcBorders>
            <w:hideMark/>
          </w:tcPr>
          <w:p w14:paraId="382682B2" w14:textId="77777777" w:rsidR="00F21A70" w:rsidRDefault="00F21A70" w:rsidP="00B50A79">
            <w:pPr>
              <w:autoSpaceDE w:val="0"/>
              <w:autoSpaceDN w:val="0"/>
              <w:adjustRightInd w:val="0"/>
              <w:spacing w:before="0"/>
              <w:rPr>
                <w:rFonts w:eastAsia="CIDFont+F1"/>
                <w:szCs w:val="24"/>
              </w:rPr>
            </w:pPr>
            <w:r>
              <w:rPr>
                <w:rFonts w:eastAsia="CIDFont+F1"/>
                <w:szCs w:val="24"/>
              </w:rPr>
              <w:t>CPI</w:t>
            </w:r>
          </w:p>
        </w:tc>
        <w:tc>
          <w:tcPr>
            <w:tcW w:w="1288" w:type="dxa"/>
            <w:tcBorders>
              <w:top w:val="nil"/>
              <w:left w:val="nil"/>
              <w:bottom w:val="nil"/>
              <w:right w:val="nil"/>
            </w:tcBorders>
            <w:hideMark/>
          </w:tcPr>
          <w:p w14:paraId="3870B5F0" w14:textId="77777777" w:rsidR="00F21A70" w:rsidRDefault="00F21A70" w:rsidP="00B50A79">
            <w:pPr>
              <w:autoSpaceDE w:val="0"/>
              <w:autoSpaceDN w:val="0"/>
              <w:adjustRightInd w:val="0"/>
              <w:spacing w:before="0"/>
              <w:rPr>
                <w:rFonts w:eastAsia="CIDFont+F1"/>
                <w:szCs w:val="24"/>
              </w:rPr>
            </w:pPr>
            <w:r>
              <w:rPr>
                <w:szCs w:val="24"/>
              </w:rPr>
              <w:t xml:space="preserve">.0452401   </w:t>
            </w:r>
          </w:p>
        </w:tc>
        <w:tc>
          <w:tcPr>
            <w:tcW w:w="1288" w:type="dxa"/>
            <w:tcBorders>
              <w:top w:val="nil"/>
              <w:left w:val="nil"/>
              <w:bottom w:val="nil"/>
              <w:right w:val="nil"/>
            </w:tcBorders>
            <w:hideMark/>
          </w:tcPr>
          <w:p w14:paraId="570098C5" w14:textId="77777777" w:rsidR="00F21A70" w:rsidRDefault="00F21A70" w:rsidP="00B50A79">
            <w:pPr>
              <w:autoSpaceDE w:val="0"/>
              <w:autoSpaceDN w:val="0"/>
              <w:adjustRightInd w:val="0"/>
              <w:spacing w:before="0"/>
              <w:rPr>
                <w:rFonts w:eastAsia="CIDFont+F1"/>
                <w:szCs w:val="24"/>
              </w:rPr>
            </w:pPr>
            <w:r>
              <w:rPr>
                <w:szCs w:val="24"/>
              </w:rPr>
              <w:t>.0304487</w:t>
            </w:r>
          </w:p>
        </w:tc>
        <w:tc>
          <w:tcPr>
            <w:tcW w:w="1288" w:type="dxa"/>
            <w:tcBorders>
              <w:top w:val="nil"/>
              <w:left w:val="nil"/>
              <w:bottom w:val="nil"/>
              <w:right w:val="nil"/>
            </w:tcBorders>
            <w:hideMark/>
          </w:tcPr>
          <w:p w14:paraId="4CF19C93" w14:textId="77777777" w:rsidR="00F21A70" w:rsidRDefault="00F21A70" w:rsidP="00B50A79">
            <w:pPr>
              <w:autoSpaceDE w:val="0"/>
              <w:autoSpaceDN w:val="0"/>
              <w:adjustRightInd w:val="0"/>
              <w:spacing w:before="0"/>
              <w:rPr>
                <w:rFonts w:eastAsia="CIDFont+F1"/>
                <w:szCs w:val="24"/>
              </w:rPr>
            </w:pPr>
            <w:r>
              <w:rPr>
                <w:rFonts w:eastAsia="CIDFont+F1"/>
                <w:szCs w:val="24"/>
              </w:rPr>
              <w:t xml:space="preserve">1.49   </w:t>
            </w:r>
          </w:p>
        </w:tc>
        <w:tc>
          <w:tcPr>
            <w:tcW w:w="1288" w:type="dxa"/>
            <w:tcBorders>
              <w:top w:val="nil"/>
              <w:left w:val="nil"/>
              <w:bottom w:val="nil"/>
              <w:right w:val="nil"/>
            </w:tcBorders>
            <w:hideMark/>
          </w:tcPr>
          <w:p w14:paraId="6C109987" w14:textId="77777777" w:rsidR="00F21A70" w:rsidRDefault="00F21A70" w:rsidP="00B50A79">
            <w:pPr>
              <w:autoSpaceDE w:val="0"/>
              <w:autoSpaceDN w:val="0"/>
              <w:adjustRightInd w:val="0"/>
              <w:spacing w:before="0"/>
              <w:rPr>
                <w:rFonts w:eastAsia="CIDFont+F1"/>
                <w:szCs w:val="24"/>
              </w:rPr>
            </w:pPr>
            <w:r>
              <w:rPr>
                <w:rFonts w:eastAsia="CIDFont+F1"/>
                <w:szCs w:val="24"/>
              </w:rPr>
              <w:t xml:space="preserve">0.137    </w:t>
            </w:r>
          </w:p>
        </w:tc>
        <w:tc>
          <w:tcPr>
            <w:tcW w:w="1288" w:type="dxa"/>
            <w:tcBorders>
              <w:top w:val="nil"/>
              <w:left w:val="nil"/>
              <w:bottom w:val="nil"/>
              <w:right w:val="nil"/>
            </w:tcBorders>
            <w:hideMark/>
          </w:tcPr>
          <w:p w14:paraId="53DEBFFC" w14:textId="77777777" w:rsidR="00F21A70" w:rsidRDefault="00F21A70" w:rsidP="00B50A79">
            <w:pPr>
              <w:autoSpaceDE w:val="0"/>
              <w:autoSpaceDN w:val="0"/>
              <w:adjustRightInd w:val="0"/>
              <w:spacing w:before="0"/>
              <w:rPr>
                <w:rFonts w:eastAsia="CIDFont+F1"/>
                <w:szCs w:val="24"/>
              </w:rPr>
            </w:pPr>
            <w:r>
              <w:rPr>
                <w:szCs w:val="24"/>
              </w:rPr>
              <w:t xml:space="preserve">-.0144384    </w:t>
            </w:r>
          </w:p>
        </w:tc>
        <w:tc>
          <w:tcPr>
            <w:tcW w:w="1288" w:type="dxa"/>
            <w:tcBorders>
              <w:top w:val="nil"/>
              <w:left w:val="nil"/>
              <w:bottom w:val="nil"/>
              <w:right w:val="nil"/>
            </w:tcBorders>
            <w:hideMark/>
          </w:tcPr>
          <w:p w14:paraId="23780EC6" w14:textId="77777777" w:rsidR="00F21A70" w:rsidRDefault="00F21A70" w:rsidP="00B50A79">
            <w:pPr>
              <w:autoSpaceDE w:val="0"/>
              <w:autoSpaceDN w:val="0"/>
              <w:adjustRightInd w:val="0"/>
              <w:spacing w:before="0"/>
              <w:rPr>
                <w:rFonts w:eastAsia="CIDFont+F1"/>
                <w:szCs w:val="24"/>
              </w:rPr>
            </w:pPr>
            <w:r>
              <w:rPr>
                <w:szCs w:val="24"/>
              </w:rPr>
              <w:t>.1049185</w:t>
            </w:r>
          </w:p>
        </w:tc>
      </w:tr>
      <w:tr w:rsidR="00F21A70" w14:paraId="7E4BA84A" w14:textId="77777777" w:rsidTr="00B50A79">
        <w:tc>
          <w:tcPr>
            <w:tcW w:w="1288" w:type="dxa"/>
            <w:tcBorders>
              <w:top w:val="nil"/>
              <w:left w:val="nil"/>
              <w:bottom w:val="nil"/>
              <w:right w:val="nil"/>
            </w:tcBorders>
            <w:hideMark/>
          </w:tcPr>
          <w:p w14:paraId="35025C9D" w14:textId="77777777" w:rsidR="00F21A70" w:rsidRDefault="00F21A70" w:rsidP="00B50A79">
            <w:pPr>
              <w:autoSpaceDE w:val="0"/>
              <w:autoSpaceDN w:val="0"/>
              <w:adjustRightInd w:val="0"/>
              <w:spacing w:before="0"/>
              <w:rPr>
                <w:rFonts w:eastAsia="CIDFont+F1"/>
                <w:szCs w:val="24"/>
              </w:rPr>
            </w:pPr>
            <w:r>
              <w:rPr>
                <w:rFonts w:eastAsia="CIDFont+F1"/>
                <w:szCs w:val="24"/>
              </w:rPr>
              <w:t>VOL</w:t>
            </w:r>
          </w:p>
        </w:tc>
        <w:tc>
          <w:tcPr>
            <w:tcW w:w="1288" w:type="dxa"/>
            <w:tcBorders>
              <w:top w:val="nil"/>
              <w:left w:val="nil"/>
              <w:bottom w:val="nil"/>
              <w:right w:val="nil"/>
            </w:tcBorders>
            <w:hideMark/>
          </w:tcPr>
          <w:p w14:paraId="36A7BC77" w14:textId="77777777" w:rsidR="00F21A70" w:rsidRDefault="00F21A70" w:rsidP="00B50A79">
            <w:pPr>
              <w:autoSpaceDE w:val="0"/>
              <w:autoSpaceDN w:val="0"/>
              <w:adjustRightInd w:val="0"/>
              <w:spacing w:before="0"/>
              <w:rPr>
                <w:rFonts w:eastAsia="CIDFont+F1"/>
                <w:szCs w:val="24"/>
              </w:rPr>
            </w:pPr>
            <w:r>
              <w:rPr>
                <w:rFonts w:eastAsia="CIDFont+F1"/>
                <w:szCs w:val="24"/>
              </w:rPr>
              <w:t>-.0045817</w:t>
            </w:r>
          </w:p>
        </w:tc>
        <w:tc>
          <w:tcPr>
            <w:tcW w:w="1288" w:type="dxa"/>
            <w:tcBorders>
              <w:top w:val="nil"/>
              <w:left w:val="nil"/>
              <w:bottom w:val="nil"/>
              <w:right w:val="nil"/>
            </w:tcBorders>
            <w:hideMark/>
          </w:tcPr>
          <w:p w14:paraId="5BF5FB5E" w14:textId="77777777" w:rsidR="00F21A70" w:rsidRDefault="00F21A70" w:rsidP="00B50A79">
            <w:pPr>
              <w:autoSpaceDE w:val="0"/>
              <w:autoSpaceDN w:val="0"/>
              <w:adjustRightInd w:val="0"/>
              <w:spacing w:before="0"/>
              <w:rPr>
                <w:rFonts w:eastAsia="CIDFont+F1"/>
                <w:szCs w:val="24"/>
              </w:rPr>
            </w:pPr>
            <w:r>
              <w:rPr>
                <w:szCs w:val="24"/>
              </w:rPr>
              <w:t>.0015747</w:t>
            </w:r>
          </w:p>
        </w:tc>
        <w:tc>
          <w:tcPr>
            <w:tcW w:w="1288" w:type="dxa"/>
            <w:tcBorders>
              <w:top w:val="nil"/>
              <w:left w:val="nil"/>
              <w:bottom w:val="nil"/>
              <w:right w:val="nil"/>
            </w:tcBorders>
            <w:hideMark/>
          </w:tcPr>
          <w:p w14:paraId="06B932B3" w14:textId="77777777" w:rsidR="00F21A70" w:rsidRDefault="00F21A70" w:rsidP="00B50A79">
            <w:pPr>
              <w:autoSpaceDE w:val="0"/>
              <w:autoSpaceDN w:val="0"/>
              <w:adjustRightInd w:val="0"/>
              <w:spacing w:before="0"/>
              <w:rPr>
                <w:rFonts w:eastAsia="CIDFont+F1"/>
                <w:szCs w:val="24"/>
              </w:rPr>
            </w:pPr>
            <w:r>
              <w:rPr>
                <w:rFonts w:eastAsia="CIDFont+F1"/>
                <w:szCs w:val="24"/>
              </w:rPr>
              <w:t xml:space="preserve">-0.291   </w:t>
            </w:r>
          </w:p>
        </w:tc>
        <w:tc>
          <w:tcPr>
            <w:tcW w:w="1288" w:type="dxa"/>
            <w:tcBorders>
              <w:top w:val="nil"/>
              <w:left w:val="nil"/>
              <w:bottom w:val="nil"/>
              <w:right w:val="nil"/>
            </w:tcBorders>
            <w:hideMark/>
          </w:tcPr>
          <w:p w14:paraId="09DA9F93" w14:textId="77777777" w:rsidR="00F21A70" w:rsidRDefault="00F21A70" w:rsidP="00B50A79">
            <w:pPr>
              <w:autoSpaceDE w:val="0"/>
              <w:autoSpaceDN w:val="0"/>
              <w:adjustRightInd w:val="0"/>
              <w:spacing w:before="0"/>
              <w:rPr>
                <w:rFonts w:eastAsia="CIDFont+F1"/>
                <w:szCs w:val="24"/>
              </w:rPr>
            </w:pPr>
            <w:r>
              <w:rPr>
                <w:rFonts w:eastAsia="CIDFont+F1"/>
                <w:szCs w:val="24"/>
              </w:rPr>
              <w:t xml:space="preserve">0.004    </w:t>
            </w:r>
          </w:p>
        </w:tc>
        <w:tc>
          <w:tcPr>
            <w:tcW w:w="1288" w:type="dxa"/>
            <w:tcBorders>
              <w:top w:val="nil"/>
              <w:left w:val="nil"/>
              <w:bottom w:val="nil"/>
              <w:right w:val="nil"/>
            </w:tcBorders>
            <w:hideMark/>
          </w:tcPr>
          <w:p w14:paraId="232873C4" w14:textId="77777777" w:rsidR="00F21A70" w:rsidRDefault="00F21A70" w:rsidP="00B50A79">
            <w:pPr>
              <w:autoSpaceDE w:val="0"/>
              <w:autoSpaceDN w:val="0"/>
              <w:adjustRightInd w:val="0"/>
              <w:spacing w:before="0"/>
              <w:rPr>
                <w:rFonts w:eastAsia="CIDFont+F1"/>
                <w:szCs w:val="24"/>
              </w:rPr>
            </w:pPr>
            <w:r>
              <w:rPr>
                <w:szCs w:val="24"/>
              </w:rPr>
              <w:t xml:space="preserve">-.0076681   </w:t>
            </w:r>
          </w:p>
        </w:tc>
        <w:tc>
          <w:tcPr>
            <w:tcW w:w="1288" w:type="dxa"/>
            <w:tcBorders>
              <w:top w:val="nil"/>
              <w:left w:val="nil"/>
              <w:bottom w:val="nil"/>
              <w:right w:val="nil"/>
            </w:tcBorders>
            <w:hideMark/>
          </w:tcPr>
          <w:p w14:paraId="61EDE3DE" w14:textId="77777777" w:rsidR="00F21A70" w:rsidRDefault="00F21A70" w:rsidP="00B50A79">
            <w:pPr>
              <w:autoSpaceDE w:val="0"/>
              <w:autoSpaceDN w:val="0"/>
              <w:adjustRightInd w:val="0"/>
              <w:spacing w:before="0"/>
              <w:rPr>
                <w:rFonts w:eastAsia="CIDFont+F1"/>
                <w:szCs w:val="24"/>
              </w:rPr>
            </w:pPr>
            <w:r>
              <w:rPr>
                <w:szCs w:val="24"/>
              </w:rPr>
              <w:t>-.0014953</w:t>
            </w:r>
          </w:p>
        </w:tc>
      </w:tr>
      <w:tr w:rsidR="00F21A70" w14:paraId="1B544F73" w14:textId="77777777" w:rsidTr="00B50A79">
        <w:tc>
          <w:tcPr>
            <w:tcW w:w="1288" w:type="dxa"/>
            <w:tcBorders>
              <w:top w:val="nil"/>
              <w:left w:val="nil"/>
              <w:bottom w:val="double" w:sz="4" w:space="0" w:color="auto"/>
              <w:right w:val="nil"/>
            </w:tcBorders>
            <w:hideMark/>
          </w:tcPr>
          <w:p w14:paraId="37842D9F" w14:textId="77777777" w:rsidR="00F21A70" w:rsidRDefault="00F21A70" w:rsidP="00B50A79">
            <w:pPr>
              <w:autoSpaceDE w:val="0"/>
              <w:autoSpaceDN w:val="0"/>
              <w:adjustRightInd w:val="0"/>
              <w:spacing w:before="0"/>
              <w:rPr>
                <w:rFonts w:eastAsia="CIDFont+F1"/>
                <w:szCs w:val="24"/>
              </w:rPr>
            </w:pPr>
            <w:r>
              <w:rPr>
                <w:rFonts w:eastAsia="CIDFont+F1"/>
                <w:szCs w:val="24"/>
              </w:rPr>
              <w:t xml:space="preserve">CONS      </w:t>
            </w:r>
          </w:p>
        </w:tc>
        <w:tc>
          <w:tcPr>
            <w:tcW w:w="1288" w:type="dxa"/>
            <w:tcBorders>
              <w:top w:val="nil"/>
              <w:left w:val="nil"/>
              <w:bottom w:val="double" w:sz="4" w:space="0" w:color="auto"/>
              <w:right w:val="nil"/>
            </w:tcBorders>
            <w:hideMark/>
          </w:tcPr>
          <w:p w14:paraId="64D707A6" w14:textId="77777777" w:rsidR="00F21A70" w:rsidRDefault="00F21A70" w:rsidP="00B50A79">
            <w:pPr>
              <w:autoSpaceDE w:val="0"/>
              <w:autoSpaceDN w:val="0"/>
              <w:adjustRightInd w:val="0"/>
              <w:spacing w:before="0"/>
              <w:rPr>
                <w:rFonts w:eastAsia="CIDFont+F1"/>
                <w:szCs w:val="24"/>
              </w:rPr>
            </w:pPr>
            <w:r>
              <w:rPr>
                <w:szCs w:val="24"/>
              </w:rPr>
              <w:t xml:space="preserve">4.639122   </w:t>
            </w:r>
          </w:p>
        </w:tc>
        <w:tc>
          <w:tcPr>
            <w:tcW w:w="1288" w:type="dxa"/>
            <w:tcBorders>
              <w:top w:val="nil"/>
              <w:left w:val="nil"/>
              <w:bottom w:val="double" w:sz="4" w:space="0" w:color="auto"/>
              <w:right w:val="nil"/>
            </w:tcBorders>
            <w:hideMark/>
          </w:tcPr>
          <w:p w14:paraId="284D51CF" w14:textId="77777777" w:rsidR="00F21A70" w:rsidRDefault="00F21A70" w:rsidP="00B50A79">
            <w:pPr>
              <w:autoSpaceDE w:val="0"/>
              <w:autoSpaceDN w:val="0"/>
              <w:adjustRightInd w:val="0"/>
              <w:spacing w:before="0"/>
              <w:rPr>
                <w:rFonts w:eastAsia="CIDFont+F1"/>
                <w:szCs w:val="24"/>
              </w:rPr>
            </w:pPr>
            <w:r>
              <w:rPr>
                <w:szCs w:val="24"/>
              </w:rPr>
              <w:t>1.103357</w:t>
            </w:r>
          </w:p>
        </w:tc>
        <w:tc>
          <w:tcPr>
            <w:tcW w:w="1288" w:type="dxa"/>
            <w:tcBorders>
              <w:top w:val="nil"/>
              <w:left w:val="nil"/>
              <w:bottom w:val="double" w:sz="4" w:space="0" w:color="auto"/>
              <w:right w:val="nil"/>
            </w:tcBorders>
            <w:hideMark/>
          </w:tcPr>
          <w:p w14:paraId="39483842" w14:textId="77777777" w:rsidR="00F21A70" w:rsidRDefault="00F21A70" w:rsidP="00B50A79">
            <w:pPr>
              <w:autoSpaceDE w:val="0"/>
              <w:autoSpaceDN w:val="0"/>
              <w:adjustRightInd w:val="0"/>
              <w:spacing w:before="0"/>
              <w:rPr>
                <w:rFonts w:eastAsia="CIDFont+F1"/>
                <w:szCs w:val="24"/>
              </w:rPr>
            </w:pPr>
            <w:r>
              <w:rPr>
                <w:szCs w:val="24"/>
              </w:rPr>
              <w:t>4.20</w:t>
            </w:r>
          </w:p>
        </w:tc>
        <w:tc>
          <w:tcPr>
            <w:tcW w:w="1288" w:type="dxa"/>
            <w:tcBorders>
              <w:top w:val="nil"/>
              <w:left w:val="nil"/>
              <w:bottom w:val="double" w:sz="4" w:space="0" w:color="auto"/>
              <w:right w:val="nil"/>
            </w:tcBorders>
            <w:hideMark/>
          </w:tcPr>
          <w:p w14:paraId="22A30F73" w14:textId="77777777" w:rsidR="00F21A70" w:rsidRDefault="00F21A70" w:rsidP="00B50A79">
            <w:pPr>
              <w:autoSpaceDE w:val="0"/>
              <w:autoSpaceDN w:val="0"/>
              <w:adjustRightInd w:val="0"/>
              <w:spacing w:before="0"/>
              <w:rPr>
                <w:rFonts w:eastAsia="CIDFont+F1"/>
                <w:szCs w:val="24"/>
              </w:rPr>
            </w:pPr>
            <w:r>
              <w:rPr>
                <w:rFonts w:eastAsia="CIDFont+F1"/>
                <w:szCs w:val="24"/>
              </w:rPr>
              <w:t xml:space="preserve">0.000    </w:t>
            </w:r>
          </w:p>
        </w:tc>
        <w:tc>
          <w:tcPr>
            <w:tcW w:w="1288" w:type="dxa"/>
            <w:tcBorders>
              <w:top w:val="nil"/>
              <w:left w:val="nil"/>
              <w:bottom w:val="double" w:sz="4" w:space="0" w:color="auto"/>
              <w:right w:val="nil"/>
            </w:tcBorders>
            <w:hideMark/>
          </w:tcPr>
          <w:p w14:paraId="64946F97" w14:textId="77777777" w:rsidR="00F21A70" w:rsidRDefault="00F21A70" w:rsidP="00B50A79">
            <w:pPr>
              <w:autoSpaceDE w:val="0"/>
              <w:autoSpaceDN w:val="0"/>
              <w:adjustRightInd w:val="0"/>
              <w:spacing w:before="0"/>
              <w:rPr>
                <w:rFonts w:eastAsia="CIDFont+F1"/>
                <w:szCs w:val="24"/>
              </w:rPr>
            </w:pPr>
            <w:r>
              <w:rPr>
                <w:szCs w:val="24"/>
              </w:rPr>
              <w:t xml:space="preserve">2.476582    </w:t>
            </w:r>
          </w:p>
        </w:tc>
        <w:tc>
          <w:tcPr>
            <w:tcW w:w="1288" w:type="dxa"/>
            <w:tcBorders>
              <w:top w:val="nil"/>
              <w:left w:val="nil"/>
              <w:bottom w:val="double" w:sz="4" w:space="0" w:color="auto"/>
              <w:right w:val="nil"/>
            </w:tcBorders>
            <w:hideMark/>
          </w:tcPr>
          <w:p w14:paraId="2D89D244" w14:textId="77777777" w:rsidR="00F21A70" w:rsidRDefault="00F21A70" w:rsidP="00B50A79">
            <w:pPr>
              <w:autoSpaceDE w:val="0"/>
              <w:autoSpaceDN w:val="0"/>
              <w:adjustRightInd w:val="0"/>
              <w:spacing w:before="0"/>
              <w:rPr>
                <w:rFonts w:eastAsia="CIDFont+F1"/>
                <w:szCs w:val="24"/>
              </w:rPr>
            </w:pPr>
            <w:r>
              <w:rPr>
                <w:szCs w:val="24"/>
              </w:rPr>
              <w:t>6.801662</w:t>
            </w:r>
          </w:p>
        </w:tc>
      </w:tr>
    </w:tbl>
    <w:p w14:paraId="0C78B2F7" w14:textId="2DA4A645" w:rsidR="00F21A70" w:rsidRDefault="00F21A70" w:rsidP="00F21A70">
      <w:pPr>
        <w:adjustRightInd w:val="0"/>
        <w:spacing w:before="0" w:after="0"/>
        <w:rPr>
          <w:szCs w:val="24"/>
        </w:rPr>
      </w:pPr>
      <w:r>
        <w:rPr>
          <w:szCs w:val="24"/>
        </w:rPr>
        <w:t>Source: Author</w:t>
      </w:r>
      <w:r w:rsidR="00097BFD">
        <w:rPr>
          <w:szCs w:val="24"/>
        </w:rPr>
        <w:t xml:space="preserve"> </w:t>
      </w:r>
      <w:r>
        <w:rPr>
          <w:szCs w:val="24"/>
        </w:rPr>
        <w:t>computation based on Stata output (2022)</w:t>
      </w:r>
    </w:p>
    <w:p w14:paraId="0D766C73" w14:textId="3E020548" w:rsidR="00F21A70" w:rsidRDefault="00F21A70" w:rsidP="00F21A70">
      <w:r w:rsidRPr="005D696E">
        <w:t xml:space="preserve">The variable of interest Exchange rate volatility (VOL) has a negative and significant effect on performance of commercial banks as shown by the probability 0.004 which is less than 0.05 at 5 percent significance level. The coefficient is also very small (-.0045817). this implies that based on the sign, an increase in exchange volatility would lead to a decline in returns on assets. The small magnitude was also found by </w:t>
      </w:r>
      <w:r w:rsidRPr="005D696E">
        <w:fldChar w:fldCharType="begin"/>
      </w:r>
      <w:r w:rsidRPr="005D696E">
        <w:instrText xml:space="preserve"> ADDIN ZOTERO_ITEM CSL_CITATION {"citationID":"ifeaP9bO","properties":{"formattedCitation":"(Kairu &amp; Nairobi, 2016)","plainCitation":"(Kairu &amp; Nairobi, 2016)","dontUpdate":true,"noteIndex":0},"citationItems":[{"id":74,"uris":["http://zotero.org/users/local/gmijzRh7/items/GXAQEZ9A"],"itemData":{"id":74,"type":"article-journal","language":"en","page":"55","source":"Zotero","title":"Effects Of The Exchange Rate Volatility On The Financial Performance Of Commercial Banks In Kenya","author":[{"family":"Kairu","given":"Eric Kiama"},{"family":"Nairobi","given":"University Of"}],"issued":{"date-parts":[["2016"]]}}}],"schema":"https://github.com/citation-style-language/schema/raw/master/csl-citation.json"} </w:instrText>
      </w:r>
      <w:r w:rsidRPr="005D696E">
        <w:fldChar w:fldCharType="separate"/>
      </w:r>
      <w:r w:rsidRPr="005D696E">
        <w:t>Kairu</w:t>
      </w:r>
      <w:r w:rsidR="00E310FE">
        <w:t xml:space="preserve"> (</w:t>
      </w:r>
      <w:r w:rsidRPr="005D696E">
        <w:t>2016)</w:t>
      </w:r>
      <w:r w:rsidRPr="005D696E">
        <w:fldChar w:fldCharType="end"/>
      </w:r>
      <w:r w:rsidRPr="005D696E">
        <w:t xml:space="preserve"> who found a weak volatility - performance of commercial banks nexus in Kenya. Similarly</w:t>
      </w:r>
      <w:r w:rsidR="00097BFD">
        <w:t>,</w:t>
      </w:r>
      <w:r w:rsidRPr="005D696E">
        <w:t xml:space="preserve"> </w:t>
      </w:r>
      <w:r w:rsidRPr="005D696E">
        <w:fldChar w:fldCharType="begin"/>
      </w:r>
      <w:r w:rsidRPr="005D696E">
        <w:instrText xml:space="preserve"> ADDIN ZOTERO_ITEM CSL_CITATION {"citationID":"JXSMkFod","properties":{"formattedCitation":"(Keshtgar et al., 2020)","plainCitation":"(Keshtgar et al., 2020)","noteIndex":0},"citationItems":[{"id":153,"uris":["http://zotero.org/users/local/gmijzRh7/items/KFK3C4UX"],"itemData":{"id":153,"type":"article-journal","abstract":"Banks play an important role in the Iranian economy which has a bank-based financial system. We examined the impact of exchange rate volatility as a determinant of banks' performance. In recent years, the exchange rate has been volatile in the Iranian economy and have an adverse effect on banks' performance. This study, investigate the issue for the period 2007-2017 for 14 Iranian banks. Exchange rate fluctuations are derived by GARCH method and the effect of its fluctuations on bank performance examined using panel data method. In order to evaluate banks' performance, we used two criteria, namely liquidity and profitability. Estimation of econometric model using panel data by random effects indicated that exchange rate volatility has a negative and statistically significant effect on banks' capital return ratio. Exchange rate volatility is also a determinant in increasing the ratio of lending to total bank deposits, as it increases the financial gap and creates the credit risk that the gap entails.","container-title":"International Journal of Business and Development Studies","DOI":"10.22111/ijbds.2020.5436","issue":"1","journalAbbreviation":"IJBDS","language":"en","source":"DOI.org (CSL JSON)","title":"The Impact of Exchange Rate volatility on Banking Performance case of Iran)","URL":"https://doi.org/10.22111/ijbds.2020.5436","volume":"12","author":[{"family":"Keshtgar","given":"Nafiseh"},{"family":"Pahlavani","given":"Mosayeb"},{"family":"Mirjalili","given":"Seyed Hossein"}],"accessed":{"date-parts":[["2022",11,5]]},"issued":{"date-parts":[["2020",6]]}}}],"schema":"https://github.com/citation-style-language/schema/raw/master/csl-citation.json"} </w:instrText>
      </w:r>
      <w:r w:rsidRPr="005D696E">
        <w:fldChar w:fldCharType="separate"/>
      </w:r>
      <w:proofErr w:type="spellStart"/>
      <w:r w:rsidRPr="005D696E">
        <w:t>Keshtgar</w:t>
      </w:r>
      <w:proofErr w:type="spellEnd"/>
      <w:r w:rsidRPr="005D696E">
        <w:t xml:space="preserve"> et al.</w:t>
      </w:r>
      <w:r>
        <w:t xml:space="preserve"> (</w:t>
      </w:r>
      <w:r w:rsidRPr="005D696E">
        <w:t>2020)</w:t>
      </w:r>
      <w:r w:rsidRPr="005D696E">
        <w:fldChar w:fldCharType="end"/>
      </w:r>
      <w:r w:rsidRPr="005D696E">
        <w:t xml:space="preserve"> found a negative and weak coefficient (-0.077) which was only significant at 10 percent significance level. Contrary, </w:t>
      </w:r>
      <w:r w:rsidRPr="005D696E">
        <w:fldChar w:fldCharType="begin"/>
      </w:r>
      <w:r w:rsidRPr="005D696E">
        <w:instrText xml:space="preserve"> ADDIN ZOTERO_ITEM CSL_CITATION {"citationID":"oSXClyoI","properties":{"formattedCitation":"(Kemisola et al., 2016)","plainCitation":"(Kemisola et al., 2016)","noteIndex":0},"citationItems":[{"id":151,"uris":["http://zotero.org/users/local/gmijzRh7/items/UBM6M6ZA"],"itemData":{"id":151,"type":"article-journal","abstract":"This study empirically examined the effect of exchange rate fluctuation on banks performance in Nigeria covering the period of ten years between 2005 and 2014. We measured exchange rate fluctuation by return average annual values of US dollar to Naira for the ten-year period. We tested our exchange rate for volatility (ARCH LM test) proving its fluctuating nature. Hausman Test was conducted for fixed and random effect preferred option. We found that exchange rates fluctuation had an insignificant effect on banks profitability using ROA as a measure while exchange rates fluctuation had a significant negative effect on banks liquidity using LDR as a measure. Therefore, we concluded that the effect of exchange rates fluctuation on banks performance is subjective on the specific measure of performance used in the research. However, our results suggest that further depreciation in the value of naira will lead to a fall in the liquidity position of the banks. As such we recommend that adequate care must be taken in establishing policies within the bank to hedge against foreign exchange risk. Furthermore, the banking sector is a vital part of the Nigerian economy and has contributed immensely to the overall GDP; we therefore suggest that the monetary authorities of Nigeria should re-assess its trade policies to incorporate strategies (high import duties, Pioneer Status, Preservation of the value of the domestic currency, maintenance of favourable external reserves position and ensuring external balance without compromising the need for internal balance) with the sole aim of enhancing naira value.","language":"en","page":"11","source":"Zotero","title":"Exchange Rate Volatility and Banks Performance: Evidence from Nigeria","volume":"2","author":[{"family":"Kemisola","given":"C"},{"family":"Ademola","given":"Osundina J"},{"family":"Olamide","given":"Jayeoba O"},{"family":"Moses","given":"Olayinka I"}],"issued":{"date-parts":[["2016"]]}}}],"schema":"https://github.com/citation-style-language/schema/raw/master/csl-citation.json"} </w:instrText>
      </w:r>
      <w:r w:rsidRPr="005D696E">
        <w:fldChar w:fldCharType="separate"/>
      </w:r>
      <w:proofErr w:type="spellStart"/>
      <w:r w:rsidRPr="005D696E">
        <w:t>Kemisola</w:t>
      </w:r>
      <w:proofErr w:type="spellEnd"/>
      <w:r w:rsidRPr="005D696E">
        <w:t xml:space="preserve"> et al.</w:t>
      </w:r>
      <w:r>
        <w:t xml:space="preserve"> (</w:t>
      </w:r>
      <w:r w:rsidRPr="005D696E">
        <w:t>2016)</w:t>
      </w:r>
      <w:r w:rsidRPr="005D696E">
        <w:fldChar w:fldCharType="end"/>
      </w:r>
      <w:r w:rsidRPr="005D696E">
        <w:t xml:space="preserve"> discovered that volatility presented </w:t>
      </w:r>
      <w:r w:rsidR="00097BFD">
        <w:t xml:space="preserve">a </w:t>
      </w:r>
      <w:r w:rsidRPr="005D696E">
        <w:t>marginally negative effect on commercial banks</w:t>
      </w:r>
      <w:r w:rsidR="00097BFD">
        <w:t>'</w:t>
      </w:r>
      <w:r w:rsidRPr="005D696E">
        <w:t xml:space="preserve"> performance in Nigeria.</w:t>
      </w:r>
    </w:p>
    <w:p w14:paraId="132B2C88" w14:textId="2B7547FE" w:rsidR="00F21A70" w:rsidRPr="005D696E" w:rsidRDefault="00F21A70" w:rsidP="00F21A70">
      <w:r w:rsidRPr="005D696E">
        <w:t xml:space="preserve">At 5 percent significance level, inflation coefficient was positive but insignificant. Similar findings were obtained by </w:t>
      </w:r>
      <w:r w:rsidRPr="005D696E">
        <w:fldChar w:fldCharType="begin"/>
      </w:r>
      <w:r w:rsidRPr="005D696E">
        <w:instrText xml:space="preserve"> ADDIN ZOTERO_ITEM CSL_CITATION {"citationID":"6xc060Rk","properties":{"formattedCitation":"(Baba &amp; Ashogbon, 2019)","plainCitation":"(Baba &amp; Ashogbon, 2019)","noteIndex":0},"citationItems":[{"id":155,"uris":["http://zotero.org/users/local/gmijzRh7/items/AXNBBCSM"],"itemData":{"id":155,"type":"article-journal","abstract":"Commercial banks play an important role in the operation of an economy since these banks serve as the financial intermediaries that channel funds from savers to borrowers for investment which is an important thing for a country’s economic growth and development. The analysis of the effect of inflation on financial performance of Commercial Banks in Nigeria is important. The aim of the study was to establish the effect of inflation on financial performance of Commercial Banks in Nigeria. The study specifically aimed to evaluate the effect of inflation on financial performance of commercial banks in Nigeria. An ordinary least square regression model was used. Inflation has insignificant relationship with financial performance.","issue":"2","language":"en","page":"10","source":"Zotero","title":"INFLATION AND FINANCIAL PERFORMANCE OF COMMERCIAL BANKS IN NIGERIA","volume":"7","author":[{"family":"Baba","given":"Sunday"},{"family":"Ashogbon","given":"Samuel Oyekan"}],"issued":{"date-parts":[["2019"]]}},"label":"page"}],"schema":"https://github.com/citation-style-language/schema/raw/master/csl-citation.json"} </w:instrText>
      </w:r>
      <w:r w:rsidRPr="005D696E">
        <w:fldChar w:fldCharType="separate"/>
      </w:r>
      <w:r w:rsidRPr="005D696E">
        <w:t xml:space="preserve">Baba </w:t>
      </w:r>
      <w:r w:rsidR="0061520D">
        <w:t>and</w:t>
      </w:r>
      <w:r w:rsidRPr="005D696E">
        <w:t xml:space="preserve"> </w:t>
      </w:r>
      <w:proofErr w:type="spellStart"/>
      <w:r w:rsidRPr="005D696E">
        <w:t>Ashogbon</w:t>
      </w:r>
      <w:proofErr w:type="spellEnd"/>
      <w:r>
        <w:t xml:space="preserve"> (</w:t>
      </w:r>
      <w:r w:rsidRPr="005D696E">
        <w:t>2019)</w:t>
      </w:r>
      <w:r w:rsidRPr="005D696E">
        <w:fldChar w:fldCharType="end"/>
      </w:r>
      <w:r w:rsidRPr="005D696E">
        <w:t xml:space="preserve"> who found an insignificant link between CPI and the commercial bank’s performance in Nigeria.</w:t>
      </w:r>
    </w:p>
    <w:p w14:paraId="7A580C15" w14:textId="2B6F3B6E" w:rsidR="00F21A70" w:rsidRPr="005D696E" w:rsidRDefault="00F21A70" w:rsidP="00F21A70">
      <w:r w:rsidRPr="005D696E">
        <w:t xml:space="preserve">At the 5 per cent level of significance, it was determined that capital had a positive and significant coefficient of return on assets. The return on assets of commercial banks increased by 12% with a unit increase in capital. According to </w:t>
      </w:r>
      <w:r w:rsidRPr="005D696E">
        <w:fldChar w:fldCharType="begin"/>
      </w:r>
      <w:r w:rsidRPr="005D696E">
        <w:instrText xml:space="preserve"> ADDIN ZOTERO_ITEM CSL_CITATION {"citationID":"Iya9q5bw","properties":{"formattedCitation":"(Halkos &amp; Salamouris, 2004)","plainCitation":"(Halkos &amp; Salamouris, 2004)","noteIndex":0},"citationItems":[{"id":157,"uris":["http://zotero.org/users/local/gmijzRh7/items/L4KTLBGJ"],"itemData":{"id":157,"type":"article-journal","abstract":"This study explores the efficiency of the Greek Banking sector with the use of a number of suggested financial efficiency ratios for the time period 1997-99. A non-parametric analytic technique (Data Envelopment Analysis) is employed for measuring efficiency. The suggested model in our analysis offers an empirical reference set for comparing the inefficient banks with the efficient ones. For each year we estimate the relative efficiency and determine the feasible targets for improvement of each bank. The analysis shows that, the total improvement in efficiency in the Banking sector is mainly attributed to the increase in the efficiency ratio resulting from the significant increase in revenues mainly from their activation in the Greek Stock Exchange Market. We find that the higher the size of total assets the higher the efficiency is. We also show that the increase in efficiency is accompanied with a reduction in the number of small banks due to mergers and acquisitions.","container-title":"Management Accounting Research","DOI":"10.1016/j.mar.2004.02.001","ISSN":"10445005","issue":"2","journalAbbreviation":"Management Accounting Research","language":"en","page":"201-224","source":"DOI.org (Crossref)","title":"Efficiency measurement of the Greek commercial banks with the use of financial ratios: a data envelopment analysis approach","title-short":"Efficiency measurement of the Greek commercial banks with the use of financial ratios","volume":"15","author":[{"family":"Halkos","given":"George E."},{"family":"Salamouris","given":"Dimitrios S."}],"issued":{"date-parts":[["2004",6]]}}}],"schema":"https://github.com/citation-style-language/schema/raw/master/csl-citation.json"} </w:instrText>
      </w:r>
      <w:r w:rsidRPr="005D696E">
        <w:fldChar w:fldCharType="separate"/>
      </w:r>
      <w:proofErr w:type="spellStart"/>
      <w:r w:rsidRPr="005D696E">
        <w:t>H</w:t>
      </w:r>
      <w:bookmarkStart w:id="16" w:name="_Hlk121127118"/>
      <w:r w:rsidRPr="005D696E">
        <w:t>alkos</w:t>
      </w:r>
      <w:proofErr w:type="spellEnd"/>
      <w:r w:rsidRPr="005D696E">
        <w:t xml:space="preserve"> </w:t>
      </w:r>
      <w:r w:rsidR="00E310FE">
        <w:t>and</w:t>
      </w:r>
      <w:r w:rsidRPr="005D696E">
        <w:t xml:space="preserve"> </w:t>
      </w:r>
      <w:proofErr w:type="spellStart"/>
      <w:r w:rsidRPr="005D696E">
        <w:t>Salamouris</w:t>
      </w:r>
      <w:proofErr w:type="spellEnd"/>
      <w:r>
        <w:t xml:space="preserve"> (</w:t>
      </w:r>
      <w:r w:rsidRPr="005D696E">
        <w:t>2004</w:t>
      </w:r>
      <w:bookmarkEnd w:id="16"/>
      <w:r w:rsidRPr="005D696E">
        <w:t>)</w:t>
      </w:r>
      <w:r w:rsidRPr="005D696E">
        <w:fldChar w:fldCharType="end"/>
      </w:r>
      <w:r w:rsidRPr="005D696E">
        <w:t xml:space="preserve">, banks with higher capital on the majority significantly performed superior to their counterparts with lower capital. Further, </w:t>
      </w:r>
      <w:r w:rsidRPr="005D696E">
        <w:fldChar w:fldCharType="begin"/>
      </w:r>
      <w:r w:rsidRPr="005D696E">
        <w:instrText xml:space="preserve"> ADDIN ZOTERO_ITEM CSL_CITATION {"citationID":"UYS0Qk2G","properties":{"formattedCitation":"(Oyier &amp; Nairobi, 2016)","plainCitation":"(Oyier &amp; Nairobi, 2016)","dontUpdate":true,"noteIndex":0},"citationItems":[{"id":161,"uris":["http://zotero.org/users/local/gmijzRh7/items/R62NXY7W"],"itemData":{"id":161,"type":"article-journal","language":"en","page":"49","source":"Zotero","title":"The Relationship Between Core Capital And Financial Performance Of Commercial Banks In Kenya","author":[{"family":"Oyier","given":"Moses Otieno"},{"family":"Nairobi","given":"University Of"}],"issued":{"date-parts":[["2016"]]}}}],"schema":"https://github.com/citation-style-language/schema/raw/master/csl-citation.json"} </w:instrText>
      </w:r>
      <w:r w:rsidRPr="005D696E">
        <w:fldChar w:fldCharType="separate"/>
      </w:r>
      <w:proofErr w:type="spellStart"/>
      <w:r w:rsidRPr="005D696E">
        <w:t>Oyier</w:t>
      </w:r>
      <w:proofErr w:type="spellEnd"/>
      <w:r>
        <w:t xml:space="preserve"> (</w:t>
      </w:r>
      <w:r w:rsidRPr="005D696E">
        <w:t>2016)</w:t>
      </w:r>
      <w:r w:rsidRPr="005D696E">
        <w:fldChar w:fldCharType="end"/>
      </w:r>
      <w:r w:rsidRPr="005D696E">
        <w:t xml:space="preserve"> found a robust positive association between ROA and core capital.</w:t>
      </w:r>
    </w:p>
    <w:p w14:paraId="1ED4880D" w14:textId="6EE51859" w:rsidR="00F21A70" w:rsidRDefault="00F21A70" w:rsidP="00F21A70">
      <w:r w:rsidRPr="005D696E">
        <w:t xml:space="preserve">At the 5 percent level of significance, it was determined that the GDP measure of the economies of the EAC members had a positive and insignificant coefficient. Similar results were found by </w:t>
      </w:r>
      <w:r w:rsidRPr="005D696E">
        <w:fldChar w:fldCharType="begin"/>
      </w:r>
      <w:r w:rsidRPr="005D696E">
        <w:instrText xml:space="preserve"> ADDIN ZOTERO_ITEM CSL_CITATION {"citationID":"bNYi2g9p","properties":{"formattedCitation":"(Al-Harbi, 2019)","plainCitation":"(Al-Harbi, 2019)","noteIndex":0},"citationItems":[{"id":167,"uris":["http://zotero.org/users/local/gmijzRh7/items/DPVUBJHX"],"itemData":{"id":167,"type":"article-journal","abstract":"Purpose – The purpose of this study is to investigate the effect of internal and external variables on the proﬁtability of conventional banks operating on developing and underdeveloped countries, the Organization of Islamic Cooperation (OIC) states.","container-title":"Journal of Economics, Finance and Administrative Science","DOI":"10.1108/JEFAS-05-2018-0043","ISSN":"2077-1886, 2077-1886","issue":"47","journalAbbreviation":"JEFAS","language":"en","page":"4-28","source":"DOI.org (Crossref)","title":"The determinants of conventional banks profitability in developing and underdeveloped OIC countries","volume":"24","author":[{"family":"Al-Harbi","given":"Ahmad"}],"issued":{"date-parts":[["2019",6,5]]}}}],"schema":"https://github.com/citation-style-language/schema/raw/master/csl-citation.json"} </w:instrText>
      </w:r>
      <w:r w:rsidRPr="005D696E">
        <w:fldChar w:fldCharType="separate"/>
      </w:r>
      <w:r w:rsidRPr="005D696E">
        <w:t>Al-Harbi</w:t>
      </w:r>
      <w:r>
        <w:t xml:space="preserve"> (</w:t>
      </w:r>
      <w:r w:rsidRPr="005D696E">
        <w:t>2019)</w:t>
      </w:r>
      <w:r w:rsidRPr="005D696E">
        <w:fldChar w:fldCharType="end"/>
      </w:r>
      <w:r w:rsidRPr="005D696E">
        <w:t xml:space="preserve"> who f</w:t>
      </w:r>
      <w:r w:rsidR="00097BFD">
        <w:t>o</w:t>
      </w:r>
      <w:r w:rsidRPr="005D696E">
        <w:t xml:space="preserve">und that GDP per capita does not </w:t>
      </w:r>
      <w:r w:rsidR="00097BFD">
        <w:t>affect</w:t>
      </w:r>
      <w:r w:rsidRPr="005D696E">
        <w:t xml:space="preserve"> commercial banks</w:t>
      </w:r>
      <w:r w:rsidR="00097BFD">
        <w:t>'</w:t>
      </w:r>
      <w:r w:rsidRPr="005D696E">
        <w:t xml:space="preserve"> </w:t>
      </w:r>
      <w:r w:rsidRPr="005D696E">
        <w:lastRenderedPageBreak/>
        <w:t xml:space="preserve">profitability. Contrary to expectations GDP has no effect on banks’ profitability in developing and less developed countries </w:t>
      </w:r>
      <w:r w:rsidRPr="005D696E">
        <w:fldChar w:fldCharType="begin"/>
      </w:r>
      <w:r w:rsidRPr="005D696E">
        <w:instrText xml:space="preserve"> ADDIN ZOTERO_ITEM CSL_CITATION {"citationID":"N97dlnyQ","properties":{"formattedCitation":"(Al-Harbi, 2019)","plainCitation":"(Al-Harbi, 2019)","noteIndex":0},"citationItems":[{"id":167,"uris":["http://zotero.org/users/local/gmijzRh7/items/DPVUBJHX"],"itemData":{"id":167,"type":"article-journal","abstract":"Purpose – The purpose of this study is to investigate the effect of internal and external variables on the proﬁtability of conventional banks operating on developing and underdeveloped countries, the Organization of Islamic Cooperation (OIC) states.","container-title":"Journal of Economics, Finance and Administrative Science","DOI":"10.1108/JEFAS-05-2018-0043","ISSN":"2077-1886, 2077-1886","issue":"47","journalAbbreviation":"JEFAS","language":"en","page":"4-28","source":"DOI.org (Crossref)","title":"The determinants of conventional banks profitability in developing and underdeveloped OIC countries","volume":"24","author":[{"family":"Al-Harbi","given":"Ahmad"}],"issued":{"date-parts":[["2019",6,5]]}}}],"schema":"https://github.com/citation-style-language/schema/raw/master/csl-citation.json"} </w:instrText>
      </w:r>
      <w:r w:rsidRPr="005D696E">
        <w:fldChar w:fldCharType="separate"/>
      </w:r>
      <w:r w:rsidRPr="005D696E">
        <w:t>(Al-Harbi, 2019)</w:t>
      </w:r>
      <w:r w:rsidRPr="005D696E">
        <w:fldChar w:fldCharType="end"/>
      </w:r>
      <w:r w:rsidRPr="005D696E">
        <w:t>.</w:t>
      </w:r>
    </w:p>
    <w:p w14:paraId="5A742F77" w14:textId="64D2A8D4" w:rsidR="00F21A70" w:rsidRPr="007E0791" w:rsidRDefault="00F21A70" w:rsidP="00F21A70">
      <w:r w:rsidRPr="005D696E">
        <w:t>Concerning credit</w:t>
      </w:r>
      <w:r w:rsidR="00097BFD">
        <w:t>,</w:t>
      </w:r>
      <w:r w:rsidRPr="005D696E">
        <w:t xml:space="preserve"> to deposit ratio the coefficient was significant and negative at a 5 percent significance level. This </w:t>
      </w:r>
      <w:r w:rsidRPr="005D696E">
        <w:rPr>
          <w:color w:val="202124"/>
          <w:shd w:val="clear" w:color="auto" w:fill="FFFFFF"/>
        </w:rPr>
        <w:t>Credit Deposit or CD ratio depicts how much a bank lends out of the deposits it has mobilized.</w:t>
      </w:r>
      <w:r w:rsidRPr="005D696E">
        <w:t xml:space="preserve"> The results show that a 1 percent increase </w:t>
      </w:r>
      <w:r w:rsidR="00097BFD">
        <w:t>i</w:t>
      </w:r>
      <w:r w:rsidRPr="005D696E">
        <w:t>n the CD ratio decreases the commercial banks</w:t>
      </w:r>
      <w:r w:rsidR="00097BFD">
        <w:t>'</w:t>
      </w:r>
      <w:r w:rsidRPr="005D696E">
        <w:t xml:space="preserve"> profitability by 5.3 per cent. According to </w:t>
      </w:r>
      <w:r w:rsidRPr="005D696E">
        <w:rPr>
          <w:color w:val="202124"/>
          <w:shd w:val="clear" w:color="auto" w:fill="FFFFFF"/>
        </w:rPr>
        <w:fldChar w:fldCharType="begin"/>
      </w:r>
      <w:r w:rsidRPr="005D696E">
        <w:rPr>
          <w:color w:val="202124"/>
          <w:shd w:val="clear" w:color="auto" w:fill="FFFFFF"/>
        </w:rPr>
        <w:instrText xml:space="preserve"> ADDIN ZOTERO_ITEM CSL_CITATION {"citationID":"HltbzTyX","properties":{"formattedCitation":"(Fields, 2015)","plainCitation":"(Fields, 2015)","dontUpdate":true,"noteIndex":0},"citationItems":[{"id":165,"uris":["http://zotero.org/users/local/gmijzRh7/items/QDQUE72X"],"itemData":{"id":165,"type":"article-journal","abstract":"The main objective of this study was to find out the relationship between liquid assets and profitability of commercial banks in Zimbabwe. Specific objectives were to ascertain how the level of risk associated with liquid assets relates to commercial bank profitability, to determine the impact of working capital on profitability and to find out the extent to which bank capitalisation influences commercial bank profits. A quantitative correlation approach was adopted for the study in which testable hypotheses were formulated based on literature review findings. Eight years historical financial statements data relating to two periods; 2005 to 2008 and 2009 to 2012 was collected from selected commercial banks in Zimbabwe. The study found that working capital was weakly related to profitability, while capitalisation strongly influenced commercial bank profitability. An inverse relationship was found between the ratio of loans to deposits and commercial bank profitability. It was therefore concluded that the composition of current assets strongly influences commercial bank profitability. This study recommends that RBZ should monitor the capitalisation levels of commercial banks and create policies to ensure growth and commercial banks should monitor the structure or composition of current assets in order to ensure profitability.","container-title":"JOURNAL OF ECONOMICS","DOI":"10.31901/24566594.2015/06.02.05","ISSN":"09765239, 24566594","issue":"02","journalAbbreviation":"JE","language":"en","source":"DOI.org (Crossref)","title":"Determinants of Commercial Bank Profitability from Prior- to Post-Hyperinflation: Evidence from Zimbabwe","title-short":"Determinants of Commercial Bank Profitability from Prior- to Post-Hyperinflation","URL":"http://krepublishers.com/02-Journals/JE/JE-06-0-000-15-Web/JE-06-0-000-15-Contents/JE-06-0-000-15-Contents.htm","volume":"06","author":[{"family":"Fields","given":"Ziska"}],"accessed":{"date-parts":[["2022",11,5]]},"issued":{"date-parts":[["2015",5,2]]}}}],"schema":"https://github.com/citation-style-language/schema/raw/master/csl-citation.json"} </w:instrText>
      </w:r>
      <w:r w:rsidRPr="005D696E">
        <w:rPr>
          <w:color w:val="202124"/>
          <w:shd w:val="clear" w:color="auto" w:fill="FFFFFF"/>
        </w:rPr>
        <w:fldChar w:fldCharType="separate"/>
      </w:r>
      <w:r w:rsidRPr="005D696E">
        <w:t>Fields</w:t>
      </w:r>
      <w:r>
        <w:t xml:space="preserve"> </w:t>
      </w:r>
      <w:r w:rsidRPr="005D696E">
        <w:t>(2015)</w:t>
      </w:r>
      <w:r w:rsidRPr="005D696E">
        <w:rPr>
          <w:color w:val="202124"/>
          <w:shd w:val="clear" w:color="auto" w:fill="FFFFFF"/>
        </w:rPr>
        <w:fldChar w:fldCharType="end"/>
      </w:r>
      <w:r w:rsidRPr="005D696E">
        <w:rPr>
          <w:color w:val="202124"/>
          <w:shd w:val="clear" w:color="auto" w:fill="FFFFFF"/>
        </w:rPr>
        <w:t xml:space="preserve">, </w:t>
      </w:r>
      <w:r w:rsidRPr="005D696E">
        <w:t xml:space="preserve">the loan-to-deposit ratio and the profitability of commercial banks have an inverse connection. </w:t>
      </w:r>
      <w:r w:rsidRPr="005D696E">
        <w:rPr>
          <w:color w:val="231F20"/>
          <w:lang w:val="en-GB"/>
        </w:rPr>
        <w:t>One of the risks that banks face is the credit</w:t>
      </w:r>
      <w:r w:rsidR="00097BFD">
        <w:rPr>
          <w:color w:val="231F20"/>
          <w:lang w:val="en-GB"/>
        </w:rPr>
        <w:t>-to-</w:t>
      </w:r>
      <w:r w:rsidRPr="005D696E">
        <w:rPr>
          <w:color w:val="231F20"/>
          <w:lang w:val="en-GB"/>
        </w:rPr>
        <w:t xml:space="preserve">deposit ratio, which requires them to strike a balance between borrowers' need for credit and liquidity and depositors' need for immediate cash. Banks may become exposed and vulnerable to systemic increases in the demand for liquidity from borrowers by balancing the needs of depositors and borrowers, causing depositors to run </w:t>
      </w:r>
      <w:r w:rsidRPr="005D696E">
        <w:rPr>
          <w:color w:val="231F20"/>
          <w:lang w:val="en-GB"/>
        </w:rPr>
        <w:fldChar w:fldCharType="begin"/>
      </w:r>
      <w:r w:rsidRPr="005D696E">
        <w:rPr>
          <w:color w:val="231F20"/>
          <w:lang w:val="en-GB"/>
        </w:rPr>
        <w:instrText xml:space="preserve"> ADDIN ZOTERO_ITEM CSL_CITATION {"citationID":"a2qht3d55is","properties":{"formattedCitation":"\\uldash{(Fields, 2015)}","plainCitation":"(Fields, 2015)","noteIndex":0},"citationItems":[{"id":165,"uris":["http://zotero.org/users/local/gmijzRh7/items/QDQUE72X"],"itemData":{"id":165,"type":"article-journal","abstract":"The main objective of this study was to find out the relationship between liquid assets and profitability of commercial banks in Zimbabwe. Specific objectives were to ascertain how the level of risk associated with liquid assets relates to commercial bank profitability, to determine the impact of working capital on profitability and to find out the extent to which bank capitalisation influences commercial bank profits. A quantitative correlation approach was adopted for the study in which testable hypotheses were formulated based on literature review findings. Eight years historical financial statements data relating to two periods; 2005 to 2008 and 2009 to 2012 was collected from selected commercial banks in Zimbabwe. The study found that working capital was weakly related to profitability, while capitalisation strongly influenced commercial bank profitability. An inverse relationship was found between the ratio of loans to deposits and commercial bank profitability. It was therefore concluded that the composition of current assets strongly influences commercial bank profitability. This study recommends that RBZ should monitor the capitalisation levels of commercial banks and create policies to ensure growth and commercial banks should monitor the structure or composition of current assets in order to ensure profitability.","container-title":"JOURNAL OF ECONOMICS","DOI":"10.31901/24566594.2015/06.02.05","ISSN":"09765239, 24566594","issue":"02","journalAbbreviation":"JE","language":"en","source":"DOI.org (Crossref)","title":"Determinants of Commercial Bank Profitability from Prior- to Post-Hyperinflation: Evidence from Zimbabwe","title-short":"Determinants of Commercial Bank Profitability from Prior- to Post-Hyperinflation","URL":"http://krepublishers.com/02-Journals/JE/JE-06-0-000-15-Web/JE-06-0-000-15-Contents/JE-06-0-000-15-Contents.htm","volume":"06","author":[{"family":"Fields","given":"Ziska"}],"accessed":{"date-parts":[["2022",11,5]]},"issued":{"date-parts":[["2015",5,2]]}}}],"schema":"https://github.com/citation-style-language/schema/raw/master/csl-citation.json"} </w:instrText>
      </w:r>
      <w:r w:rsidRPr="005D696E">
        <w:rPr>
          <w:color w:val="231F20"/>
          <w:lang w:val="en-GB"/>
        </w:rPr>
        <w:fldChar w:fldCharType="separate"/>
      </w:r>
      <w:r w:rsidRPr="005D696E">
        <w:t>(Fields, 2015)</w:t>
      </w:r>
      <w:r w:rsidRPr="005D696E">
        <w:rPr>
          <w:color w:val="231F20"/>
          <w:lang w:val="en-GB"/>
        </w:rPr>
        <w:fldChar w:fldCharType="end"/>
      </w:r>
      <w:r w:rsidRPr="005D696E">
        <w:rPr>
          <w:color w:val="231F20"/>
          <w:lang w:val="en-GB"/>
        </w:rPr>
        <w:t>. This indicates that the bank's profitability declines as this risk increases.</w:t>
      </w:r>
    </w:p>
    <w:p w14:paraId="364DD2C8" w14:textId="77777777" w:rsidR="00F21A70" w:rsidRDefault="00F21A70" w:rsidP="00F21A70">
      <w:pPr>
        <w:pStyle w:val="Heading2"/>
        <w:spacing w:after="160"/>
      </w:pPr>
      <w:r>
        <w:t xml:space="preserve">5.0 </w:t>
      </w:r>
      <w:r w:rsidRPr="0099121B">
        <w:t xml:space="preserve">Conclusion </w:t>
      </w:r>
    </w:p>
    <w:p w14:paraId="629C015F" w14:textId="190B2AED" w:rsidR="00F21A70" w:rsidRDefault="00F21A70" w:rsidP="00F21A70">
      <w:r>
        <w:t>The first</w:t>
      </w:r>
      <w:r w:rsidRPr="00C5258F">
        <w:t xml:space="preserve"> objective </w:t>
      </w:r>
      <w:r>
        <w:t xml:space="preserve">under investigation involved measuring the </w:t>
      </w:r>
      <w:r w:rsidRPr="00C5258F">
        <w:t xml:space="preserve">degree </w:t>
      </w:r>
      <w:r>
        <w:t>to which</w:t>
      </w:r>
      <w:r w:rsidRPr="00C5258F">
        <w:t xml:space="preserve"> exchange rate</w:t>
      </w:r>
      <w:r>
        <w:t>s</w:t>
      </w:r>
      <w:r w:rsidRPr="00C5258F">
        <w:t xml:space="preserve"> </w:t>
      </w:r>
      <w:r>
        <w:t xml:space="preserve">are </w:t>
      </w:r>
      <w:r w:rsidRPr="00C5258F">
        <w:t>volatil</w:t>
      </w:r>
      <w:r>
        <w:t>e</w:t>
      </w:r>
      <w:r w:rsidRPr="00C5258F">
        <w:t xml:space="preserve"> in the EAC. The three partner states' currencies all fluctuate, which is the key finding. The analysis co</w:t>
      </w:r>
      <w:r w:rsidR="00097BFD">
        <w:t>ncludes</w:t>
      </w:r>
      <w:r w:rsidRPr="00C5258F">
        <w:t xml:space="preserve"> that these countries' commercial banks' profitability is </w:t>
      </w:r>
      <w:r w:rsidR="00097BFD">
        <w:t>in</w:t>
      </w:r>
      <w:r w:rsidRPr="00C5258F">
        <w:t xml:space="preserve"> danger from volatility.</w:t>
      </w:r>
    </w:p>
    <w:p w14:paraId="15ED74A1" w14:textId="77777777" w:rsidR="00F21A70" w:rsidRDefault="00F21A70" w:rsidP="00F21A70">
      <w:r w:rsidRPr="00C5258F">
        <w:rPr>
          <w:szCs w:val="24"/>
        </w:rPr>
        <w:t>The study also examined how the performance of commercial banks in the EAC was impacted by exchange rate volatility. The key conclusion was that exchange rate volatility and the credit-to-deposit ratio are two twin dangers that influence how successfully commercial banks operate. The outcome suggests that the observed decline in ROA may have been influenced by credit risk and currency rate volatility, albeit to a lesser extent.</w:t>
      </w:r>
    </w:p>
    <w:p w14:paraId="519FF32B" w14:textId="218FADDF" w:rsidR="00F21A70" w:rsidRPr="005D696E" w:rsidRDefault="00F21A70" w:rsidP="00F21A70">
      <w:r w:rsidRPr="00D36A48">
        <w:rPr>
          <w:szCs w:val="24"/>
        </w:rPr>
        <w:t xml:space="preserve">Additionally, enough capital has the biggest magnitude by </w:t>
      </w:r>
      <w:r w:rsidR="00097BFD">
        <w:rPr>
          <w:szCs w:val="24"/>
        </w:rPr>
        <w:t xml:space="preserve">a </w:t>
      </w:r>
      <w:r w:rsidRPr="00D36A48">
        <w:rPr>
          <w:szCs w:val="24"/>
        </w:rPr>
        <w:t>coefficient and benefits commercial banks' profitability.</w:t>
      </w:r>
      <w:r>
        <w:rPr>
          <w:szCs w:val="24"/>
        </w:rPr>
        <w:t xml:space="preserve"> The conclusion is that capital is a key determinant of commercial banks</w:t>
      </w:r>
      <w:r w:rsidR="00097BFD">
        <w:rPr>
          <w:szCs w:val="24"/>
        </w:rPr>
        <w:t>'</w:t>
      </w:r>
      <w:r>
        <w:rPr>
          <w:szCs w:val="24"/>
        </w:rPr>
        <w:t xml:space="preserve"> performance. Inflation and the economic sizes of the EAC member states under consideration were found to be insignificant. </w:t>
      </w:r>
    </w:p>
    <w:p w14:paraId="004098AF" w14:textId="77777777" w:rsidR="00F21A70" w:rsidRDefault="00F21A70" w:rsidP="00F21A70">
      <w:pPr>
        <w:pStyle w:val="Heading2"/>
        <w:spacing w:after="160"/>
      </w:pPr>
      <w:r>
        <w:t xml:space="preserve">6.0 </w:t>
      </w:r>
      <w:r w:rsidRPr="0099121B">
        <w:t xml:space="preserve">Recommendations </w:t>
      </w:r>
    </w:p>
    <w:p w14:paraId="492E1FCE" w14:textId="21864EDC" w:rsidR="00F21A70" w:rsidRDefault="00F21A70" w:rsidP="00F21A70">
      <w:r>
        <w:t>Several implications can be drawn from this study’s findings. First Central Banks in the countries under review should endeavor to maintain stability in the exchange rates. This can be achieved by hedging instruments and pegging their currencies on major currenc</w:t>
      </w:r>
      <w:r w:rsidR="00097BFD">
        <w:t>ies</w:t>
      </w:r>
      <w:r>
        <w:t xml:space="preserve"> such as the dollar or Euro.</w:t>
      </w:r>
    </w:p>
    <w:p w14:paraId="0986FE74" w14:textId="200DFEFC" w:rsidR="00F21A70" w:rsidRDefault="00F21A70" w:rsidP="00F21A70">
      <w:r w:rsidRPr="006D7243">
        <w:t xml:space="preserve">The report also suggests that central banks keep reliable systems in place to </w:t>
      </w:r>
      <w:r>
        <w:t xml:space="preserve">monitor </w:t>
      </w:r>
      <w:r w:rsidR="00097BFD">
        <w:t xml:space="preserve">the </w:t>
      </w:r>
      <w:r>
        <w:t xml:space="preserve">capital </w:t>
      </w:r>
      <w:r w:rsidRPr="006D7243">
        <w:t>sufficiency</w:t>
      </w:r>
      <w:r>
        <w:t xml:space="preserve"> of commercial banks</w:t>
      </w:r>
      <w:r w:rsidRPr="006D7243">
        <w:t>. This will ensure that commercial banks have a strong capital base, allowing them to stay competitive and maintain the trust of their customers.</w:t>
      </w:r>
    </w:p>
    <w:p w14:paraId="1ADC5720" w14:textId="71D5ECEB" w:rsidR="00F21A70" w:rsidRPr="005D696E" w:rsidRDefault="00F21A70" w:rsidP="00F21A70">
      <w:r>
        <w:t>Third</w:t>
      </w:r>
      <w:r w:rsidR="00097BFD">
        <w:t>,</w:t>
      </w:r>
      <w:r>
        <w:t xml:space="preserve"> it is recommended that commercial banks should not rely on deposits to fund their operations, considering the negative effect of credit </w:t>
      </w:r>
      <w:r w:rsidR="00097BFD">
        <w:t>on</w:t>
      </w:r>
      <w:r>
        <w:t xml:space="preserve"> deposits and profitability. In comparison to exchange rate volatility commercial banks should monitor credit to deposits ratio more robustly than volatility due to magnitude.</w:t>
      </w:r>
    </w:p>
    <w:p w14:paraId="120715D5" w14:textId="77777777" w:rsidR="00F21A70" w:rsidRPr="00F233C6" w:rsidRDefault="00F21A70" w:rsidP="00F21A70">
      <w:pPr>
        <w:pStyle w:val="Heading2"/>
        <w:spacing w:after="160"/>
      </w:pPr>
      <w:r w:rsidRPr="0099121B">
        <w:t xml:space="preserve">References </w:t>
      </w:r>
    </w:p>
    <w:p w14:paraId="34DD507D" w14:textId="36EEDDC5" w:rsidR="00F21A70" w:rsidRPr="00F233C6" w:rsidRDefault="00F21A70" w:rsidP="00F21A70">
      <w:pPr>
        <w:ind w:left="720" w:hanging="720"/>
        <w:rPr>
          <w:rFonts w:cs="Times New Roman"/>
          <w:szCs w:val="24"/>
        </w:rPr>
      </w:pPr>
      <w:r w:rsidRPr="00F233C6">
        <w:rPr>
          <w:rFonts w:cs="Times New Roman"/>
          <w:color w:val="222222"/>
          <w:szCs w:val="24"/>
          <w:shd w:val="clear" w:color="auto" w:fill="FFFFFF"/>
        </w:rPr>
        <w:t>Al-Harbi, A. (2019). The determinants of conventional banks</w:t>
      </w:r>
      <w:r w:rsidR="00097BFD">
        <w:rPr>
          <w:rFonts w:cs="Times New Roman"/>
          <w:color w:val="222222"/>
          <w:szCs w:val="24"/>
          <w:shd w:val="clear" w:color="auto" w:fill="FFFFFF"/>
        </w:rPr>
        <w:t>'</w:t>
      </w:r>
      <w:r w:rsidRPr="00F233C6">
        <w:rPr>
          <w:rFonts w:cs="Times New Roman"/>
          <w:color w:val="222222"/>
          <w:szCs w:val="24"/>
          <w:shd w:val="clear" w:color="auto" w:fill="FFFFFF"/>
        </w:rPr>
        <w:t xml:space="preserve"> profitability in developing and underdeveloped OIC countries. </w:t>
      </w:r>
      <w:r w:rsidRPr="00F233C6">
        <w:rPr>
          <w:rFonts w:cs="Times New Roman"/>
          <w:i/>
          <w:iCs/>
          <w:color w:val="222222"/>
          <w:szCs w:val="24"/>
          <w:shd w:val="clear" w:color="auto" w:fill="FFFFFF"/>
        </w:rPr>
        <w:t>Journal of Economics, Finance and Administrative Science</w:t>
      </w:r>
      <w:r w:rsidRPr="00F233C6">
        <w:rPr>
          <w:rFonts w:cs="Times New Roman"/>
          <w:color w:val="222222"/>
          <w:szCs w:val="24"/>
          <w:shd w:val="clear" w:color="auto" w:fill="FFFFFF"/>
        </w:rPr>
        <w:t>.</w:t>
      </w:r>
    </w:p>
    <w:p w14:paraId="2965A986" w14:textId="77777777" w:rsidR="00F21A70" w:rsidRPr="00F233C6" w:rsidRDefault="00F21A70" w:rsidP="00F21A70">
      <w:pPr>
        <w:ind w:left="720" w:hanging="720"/>
        <w:rPr>
          <w:rFonts w:cs="Times New Roman"/>
          <w:szCs w:val="24"/>
        </w:rPr>
      </w:pPr>
      <w:r w:rsidRPr="00F233C6">
        <w:rPr>
          <w:rFonts w:cs="Times New Roman"/>
          <w:i/>
          <w:szCs w:val="24"/>
        </w:rPr>
        <w:t xml:space="preserve">American Economic Review, </w:t>
      </w:r>
      <w:r w:rsidRPr="00F233C6">
        <w:rPr>
          <w:rFonts w:cs="Times New Roman"/>
          <w:szCs w:val="24"/>
        </w:rPr>
        <w:t>65(4), 689-694.</w:t>
      </w:r>
    </w:p>
    <w:p w14:paraId="3C25328D" w14:textId="77777777" w:rsidR="00F21A70" w:rsidRPr="00F233C6" w:rsidRDefault="00F21A70" w:rsidP="00F21A70">
      <w:pPr>
        <w:ind w:left="720" w:hanging="720"/>
        <w:rPr>
          <w:rFonts w:cs="Times New Roman"/>
          <w:color w:val="222222"/>
          <w:szCs w:val="24"/>
          <w:shd w:val="clear" w:color="auto" w:fill="FFFFFF"/>
        </w:rPr>
      </w:pPr>
      <w:r w:rsidRPr="00F233C6">
        <w:rPr>
          <w:rFonts w:cs="Times New Roman"/>
          <w:color w:val="222222"/>
          <w:szCs w:val="24"/>
          <w:shd w:val="clear" w:color="auto" w:fill="FFFFFF"/>
        </w:rPr>
        <w:lastRenderedPageBreak/>
        <w:t xml:space="preserve">Baba, S., &amp; </w:t>
      </w:r>
      <w:proofErr w:type="spellStart"/>
      <w:r w:rsidRPr="00F233C6">
        <w:rPr>
          <w:rFonts w:cs="Times New Roman"/>
          <w:color w:val="222222"/>
          <w:szCs w:val="24"/>
          <w:shd w:val="clear" w:color="auto" w:fill="FFFFFF"/>
        </w:rPr>
        <w:t>Ashogbon</w:t>
      </w:r>
      <w:proofErr w:type="spellEnd"/>
      <w:r w:rsidRPr="00F233C6">
        <w:rPr>
          <w:rFonts w:cs="Times New Roman"/>
          <w:color w:val="222222"/>
          <w:szCs w:val="24"/>
          <w:shd w:val="clear" w:color="auto" w:fill="FFFFFF"/>
        </w:rPr>
        <w:t>, S. O. Pro-Activeness and the Performance of Small and Medium Enterprises (SMEs) in Nigeria.</w:t>
      </w:r>
    </w:p>
    <w:p w14:paraId="7A111FE3" w14:textId="77777777" w:rsidR="00F21A70" w:rsidRPr="00F233C6" w:rsidRDefault="00F21A70" w:rsidP="00F21A70">
      <w:pPr>
        <w:ind w:left="720" w:hanging="720"/>
        <w:rPr>
          <w:rFonts w:cs="Times New Roman"/>
          <w:szCs w:val="24"/>
        </w:rPr>
      </w:pPr>
      <w:r w:rsidRPr="00F233C6">
        <w:rPr>
          <w:rFonts w:cs="Times New Roman"/>
          <w:color w:val="222222"/>
          <w:szCs w:val="24"/>
          <w:shd w:val="clear" w:color="auto" w:fill="FFFFFF"/>
        </w:rPr>
        <w:t>Bagh, T., Khan, M. A., Azad, T., Saddique, S., &amp; Khan, M. A. (2017). The corporate social responsibility and firms’ financial performance: evidence from financial sector of Pakistan. </w:t>
      </w:r>
      <w:r w:rsidRPr="00F233C6">
        <w:rPr>
          <w:rFonts w:cs="Times New Roman"/>
          <w:i/>
          <w:iCs/>
          <w:color w:val="222222"/>
          <w:szCs w:val="24"/>
          <w:shd w:val="clear" w:color="auto" w:fill="FFFFFF"/>
        </w:rPr>
        <w:t>International Journal of Economics and Financial Issues</w:t>
      </w:r>
      <w:r w:rsidRPr="00F233C6">
        <w:rPr>
          <w:rFonts w:cs="Times New Roman"/>
          <w:color w:val="222222"/>
          <w:szCs w:val="24"/>
          <w:shd w:val="clear" w:color="auto" w:fill="FFFFFF"/>
        </w:rPr>
        <w:t>, </w:t>
      </w:r>
      <w:r w:rsidRPr="00F233C6">
        <w:rPr>
          <w:rFonts w:cs="Times New Roman"/>
          <w:i/>
          <w:iCs/>
          <w:color w:val="222222"/>
          <w:szCs w:val="24"/>
          <w:shd w:val="clear" w:color="auto" w:fill="FFFFFF"/>
        </w:rPr>
        <w:t>7</w:t>
      </w:r>
      <w:r w:rsidRPr="00F233C6">
        <w:rPr>
          <w:rFonts w:cs="Times New Roman"/>
          <w:color w:val="222222"/>
          <w:szCs w:val="24"/>
          <w:shd w:val="clear" w:color="auto" w:fill="FFFFFF"/>
        </w:rPr>
        <w:t>(2), 301-308.</w:t>
      </w:r>
    </w:p>
    <w:p w14:paraId="7E015168" w14:textId="77777777" w:rsidR="00F21A70" w:rsidRPr="00F233C6" w:rsidRDefault="00F21A70" w:rsidP="00F21A70">
      <w:pPr>
        <w:ind w:left="720" w:hanging="720"/>
        <w:rPr>
          <w:rFonts w:cs="Times New Roman"/>
          <w:szCs w:val="24"/>
        </w:rPr>
      </w:pPr>
      <w:r w:rsidRPr="00F233C6">
        <w:rPr>
          <w:rFonts w:cs="Times New Roman"/>
          <w:szCs w:val="24"/>
        </w:rPr>
        <w:t xml:space="preserve">Day, R. H., Aigner, D. J., &amp; Smith, K. R. (2013). Safety Margins and Profit Maximization in the Theory of the Firm. </w:t>
      </w:r>
      <w:r w:rsidRPr="00F233C6">
        <w:rPr>
          <w:rFonts w:cs="Times New Roman"/>
          <w:i/>
          <w:szCs w:val="24"/>
        </w:rPr>
        <w:t xml:space="preserve">Journal of Political Economy, </w:t>
      </w:r>
      <w:r w:rsidRPr="00F233C6">
        <w:rPr>
          <w:rFonts w:cs="Times New Roman"/>
          <w:szCs w:val="24"/>
        </w:rPr>
        <w:t>79(6),</w:t>
      </w:r>
      <w:r w:rsidRPr="00F233C6">
        <w:rPr>
          <w:rFonts w:cs="Times New Roman"/>
          <w:spacing w:val="51"/>
          <w:szCs w:val="24"/>
        </w:rPr>
        <w:t xml:space="preserve"> </w:t>
      </w:r>
      <w:r w:rsidRPr="00F233C6">
        <w:rPr>
          <w:rFonts w:cs="Times New Roman"/>
          <w:szCs w:val="24"/>
        </w:rPr>
        <w:t>1293-1301.</w:t>
      </w:r>
    </w:p>
    <w:p w14:paraId="139CEC0F" w14:textId="77777777" w:rsidR="00F21A70" w:rsidRPr="00F233C6" w:rsidRDefault="00F21A70" w:rsidP="00F21A70">
      <w:pPr>
        <w:ind w:left="720" w:hanging="720"/>
        <w:rPr>
          <w:rFonts w:cs="Times New Roman"/>
          <w:color w:val="222222"/>
          <w:szCs w:val="24"/>
          <w:shd w:val="clear" w:color="auto" w:fill="FFFFFF"/>
        </w:rPr>
      </w:pPr>
      <w:r w:rsidRPr="00F233C6">
        <w:rPr>
          <w:rFonts w:cs="Times New Roman"/>
          <w:color w:val="222222"/>
          <w:szCs w:val="24"/>
          <w:shd w:val="clear" w:color="auto" w:fill="FFFFFF"/>
        </w:rPr>
        <w:t xml:space="preserve">Epaphra, M., &amp; </w:t>
      </w:r>
      <w:proofErr w:type="spellStart"/>
      <w:r w:rsidRPr="00F233C6">
        <w:rPr>
          <w:rFonts w:cs="Times New Roman"/>
          <w:color w:val="222222"/>
          <w:szCs w:val="24"/>
          <w:shd w:val="clear" w:color="auto" w:fill="FFFFFF"/>
        </w:rPr>
        <w:t>Kazungu</w:t>
      </w:r>
      <w:proofErr w:type="spellEnd"/>
      <w:r w:rsidRPr="00F233C6">
        <w:rPr>
          <w:rFonts w:cs="Times New Roman"/>
          <w:color w:val="222222"/>
          <w:szCs w:val="24"/>
          <w:shd w:val="clear" w:color="auto" w:fill="FFFFFF"/>
        </w:rPr>
        <w:t>, K. (2021). Efficiency of Tanzania's foreign exchange market. </w:t>
      </w:r>
      <w:r w:rsidRPr="00F233C6">
        <w:rPr>
          <w:rFonts w:cs="Times New Roman"/>
          <w:i/>
          <w:iCs/>
          <w:color w:val="222222"/>
          <w:szCs w:val="24"/>
          <w:shd w:val="clear" w:color="auto" w:fill="FFFFFF"/>
        </w:rPr>
        <w:t>African Development Review</w:t>
      </w:r>
      <w:r w:rsidRPr="00F233C6">
        <w:rPr>
          <w:rFonts w:cs="Times New Roman"/>
          <w:color w:val="222222"/>
          <w:szCs w:val="24"/>
          <w:shd w:val="clear" w:color="auto" w:fill="FFFFFF"/>
        </w:rPr>
        <w:t>, </w:t>
      </w:r>
      <w:r w:rsidRPr="00F233C6">
        <w:rPr>
          <w:rFonts w:cs="Times New Roman"/>
          <w:i/>
          <w:iCs/>
          <w:color w:val="222222"/>
          <w:szCs w:val="24"/>
          <w:shd w:val="clear" w:color="auto" w:fill="FFFFFF"/>
        </w:rPr>
        <w:t>33</w:t>
      </w:r>
      <w:r w:rsidRPr="00F233C6">
        <w:rPr>
          <w:rFonts w:cs="Times New Roman"/>
          <w:color w:val="222222"/>
          <w:szCs w:val="24"/>
          <w:shd w:val="clear" w:color="auto" w:fill="FFFFFF"/>
        </w:rPr>
        <w:t>(2), 368-381.</w:t>
      </w:r>
    </w:p>
    <w:p w14:paraId="0618B6DF" w14:textId="77777777" w:rsidR="00F21A70" w:rsidRPr="00F233C6" w:rsidRDefault="00F21A70" w:rsidP="00F21A70">
      <w:pPr>
        <w:ind w:left="720" w:hanging="720"/>
        <w:rPr>
          <w:rFonts w:cs="Times New Roman"/>
          <w:color w:val="222222"/>
          <w:szCs w:val="24"/>
          <w:shd w:val="clear" w:color="auto" w:fill="FFFFFF"/>
        </w:rPr>
      </w:pPr>
      <w:r w:rsidRPr="00F233C6">
        <w:rPr>
          <w:rFonts w:cs="Times New Roman"/>
          <w:color w:val="222222"/>
          <w:szCs w:val="24"/>
          <w:shd w:val="clear" w:color="auto" w:fill="FFFFFF"/>
        </w:rPr>
        <w:t>Franklin, A., &amp; Elena, C. (2008). The roles of banks in financial systems. </w:t>
      </w:r>
      <w:r w:rsidRPr="00F233C6">
        <w:rPr>
          <w:rFonts w:cs="Times New Roman"/>
          <w:i/>
          <w:iCs/>
          <w:color w:val="222222"/>
          <w:szCs w:val="24"/>
          <w:shd w:val="clear" w:color="auto" w:fill="FFFFFF"/>
        </w:rPr>
        <w:t>A. Berger, P. Molyneux &amp; J. Wilson (Eds.), Oxford Handbook of Banking</w:t>
      </w:r>
      <w:r w:rsidRPr="00F233C6">
        <w:rPr>
          <w:rFonts w:cs="Times New Roman"/>
          <w:color w:val="222222"/>
          <w:szCs w:val="24"/>
          <w:shd w:val="clear" w:color="auto" w:fill="FFFFFF"/>
        </w:rPr>
        <w:t>.</w:t>
      </w:r>
    </w:p>
    <w:p w14:paraId="7D2C3E0F" w14:textId="77777777" w:rsidR="00F21A70" w:rsidRPr="00F233C6" w:rsidRDefault="00F21A70" w:rsidP="00F21A70">
      <w:pPr>
        <w:ind w:left="720" w:hanging="720"/>
        <w:rPr>
          <w:rFonts w:cs="Times New Roman"/>
          <w:color w:val="222222"/>
          <w:szCs w:val="24"/>
          <w:shd w:val="clear" w:color="auto" w:fill="FFFFFF"/>
        </w:rPr>
      </w:pPr>
      <w:proofErr w:type="spellStart"/>
      <w:r w:rsidRPr="00F233C6">
        <w:rPr>
          <w:rFonts w:cs="Times New Roman"/>
          <w:color w:val="222222"/>
          <w:szCs w:val="24"/>
          <w:shd w:val="clear" w:color="auto" w:fill="FFFFFF"/>
        </w:rPr>
        <w:t>Halkos</w:t>
      </w:r>
      <w:proofErr w:type="spellEnd"/>
      <w:r w:rsidRPr="00F233C6">
        <w:rPr>
          <w:rFonts w:cs="Times New Roman"/>
          <w:color w:val="222222"/>
          <w:szCs w:val="24"/>
          <w:shd w:val="clear" w:color="auto" w:fill="FFFFFF"/>
        </w:rPr>
        <w:t xml:space="preserve">, G. E., &amp; </w:t>
      </w:r>
      <w:proofErr w:type="spellStart"/>
      <w:r w:rsidRPr="00F233C6">
        <w:rPr>
          <w:rFonts w:cs="Times New Roman"/>
          <w:color w:val="222222"/>
          <w:szCs w:val="24"/>
          <w:shd w:val="clear" w:color="auto" w:fill="FFFFFF"/>
        </w:rPr>
        <w:t>Salamouris</w:t>
      </w:r>
      <w:proofErr w:type="spellEnd"/>
      <w:r w:rsidRPr="00F233C6">
        <w:rPr>
          <w:rFonts w:cs="Times New Roman"/>
          <w:color w:val="222222"/>
          <w:szCs w:val="24"/>
          <w:shd w:val="clear" w:color="auto" w:fill="FFFFFF"/>
        </w:rPr>
        <w:t>, D. S. (2004). Efficiency measurement of the Greek commercial banks with the use of financial ratios: a data envelopment analysis approach. </w:t>
      </w:r>
      <w:r w:rsidRPr="00F233C6">
        <w:rPr>
          <w:rFonts w:cs="Times New Roman"/>
          <w:i/>
          <w:iCs/>
          <w:color w:val="222222"/>
          <w:szCs w:val="24"/>
          <w:shd w:val="clear" w:color="auto" w:fill="FFFFFF"/>
        </w:rPr>
        <w:t>Management accounting research</w:t>
      </w:r>
      <w:r w:rsidRPr="00F233C6">
        <w:rPr>
          <w:rFonts w:cs="Times New Roman"/>
          <w:color w:val="222222"/>
          <w:szCs w:val="24"/>
          <w:shd w:val="clear" w:color="auto" w:fill="FFFFFF"/>
        </w:rPr>
        <w:t>, </w:t>
      </w:r>
      <w:r w:rsidRPr="00F233C6">
        <w:rPr>
          <w:rFonts w:cs="Times New Roman"/>
          <w:i/>
          <w:iCs/>
          <w:color w:val="222222"/>
          <w:szCs w:val="24"/>
          <w:shd w:val="clear" w:color="auto" w:fill="FFFFFF"/>
        </w:rPr>
        <w:t>15</w:t>
      </w:r>
      <w:r w:rsidRPr="00F233C6">
        <w:rPr>
          <w:rFonts w:cs="Times New Roman"/>
          <w:color w:val="222222"/>
          <w:szCs w:val="24"/>
          <w:shd w:val="clear" w:color="auto" w:fill="FFFFFF"/>
        </w:rPr>
        <w:t>(2), 201-224.</w:t>
      </w:r>
    </w:p>
    <w:p w14:paraId="2555B65E" w14:textId="77777777" w:rsidR="00F21A70" w:rsidRPr="00F233C6" w:rsidRDefault="00F21A70" w:rsidP="00F21A70">
      <w:pPr>
        <w:ind w:left="720" w:hanging="720"/>
        <w:rPr>
          <w:rFonts w:cs="Times New Roman"/>
          <w:szCs w:val="24"/>
        </w:rPr>
      </w:pPr>
      <w:r w:rsidRPr="00F233C6">
        <w:rPr>
          <w:rFonts w:cs="Times New Roman"/>
          <w:szCs w:val="24"/>
        </w:rPr>
        <w:t>Isaac, L. (2015). Assessing the impact of exchange rate risk on banks performance in Nigeria.</w:t>
      </w:r>
    </w:p>
    <w:p w14:paraId="644203CC" w14:textId="77777777" w:rsidR="00F21A70" w:rsidRPr="00F233C6" w:rsidRDefault="00F21A70" w:rsidP="00F21A70">
      <w:pPr>
        <w:ind w:left="720" w:hanging="720"/>
        <w:rPr>
          <w:rFonts w:cs="Times New Roman"/>
          <w:szCs w:val="24"/>
        </w:rPr>
      </w:pPr>
      <w:r w:rsidRPr="00F233C6">
        <w:rPr>
          <w:rFonts w:cs="Times New Roman"/>
          <w:i/>
          <w:szCs w:val="24"/>
        </w:rPr>
        <w:t xml:space="preserve">Journal of Economics and Sustainable Development, </w:t>
      </w:r>
      <w:r w:rsidRPr="00F233C6">
        <w:rPr>
          <w:rFonts w:cs="Times New Roman"/>
          <w:szCs w:val="24"/>
        </w:rPr>
        <w:t>6(6), 1-13.</w:t>
      </w:r>
    </w:p>
    <w:p w14:paraId="5398862B" w14:textId="20E7F41C" w:rsidR="00F21A70" w:rsidRPr="00F233C6" w:rsidRDefault="00F21A70" w:rsidP="00F21A70">
      <w:pPr>
        <w:ind w:left="720" w:hanging="720"/>
        <w:rPr>
          <w:rFonts w:cs="Times New Roman"/>
          <w:szCs w:val="24"/>
        </w:rPr>
      </w:pPr>
      <w:r w:rsidRPr="00F233C6">
        <w:rPr>
          <w:rFonts w:cs="Times New Roman"/>
          <w:szCs w:val="24"/>
        </w:rPr>
        <w:t xml:space="preserve">Kairu, E. K. (2016). </w:t>
      </w:r>
      <w:r w:rsidRPr="00F233C6">
        <w:rPr>
          <w:rFonts w:cs="Times New Roman"/>
          <w:i/>
          <w:szCs w:val="24"/>
        </w:rPr>
        <w:t xml:space="preserve">Effects of the exchange rate volatility on the financial performance of commercial banks in Kenya </w:t>
      </w:r>
      <w:r w:rsidRPr="00F233C6">
        <w:rPr>
          <w:rFonts w:cs="Times New Roman"/>
          <w:szCs w:val="24"/>
        </w:rPr>
        <w:t xml:space="preserve">(Doctoral dissertation, </w:t>
      </w:r>
      <w:r w:rsidR="00097BFD">
        <w:rPr>
          <w:rFonts w:cs="Times New Roman"/>
          <w:szCs w:val="24"/>
        </w:rPr>
        <w:t>U</w:t>
      </w:r>
      <w:r w:rsidRPr="00F233C6">
        <w:rPr>
          <w:rFonts w:cs="Times New Roman"/>
          <w:szCs w:val="24"/>
        </w:rPr>
        <w:t>niversity of Nairobi).</w:t>
      </w:r>
    </w:p>
    <w:p w14:paraId="1D601064" w14:textId="77777777" w:rsidR="00F21A70" w:rsidRPr="00F233C6" w:rsidRDefault="00F21A70" w:rsidP="00F21A70">
      <w:pPr>
        <w:ind w:left="720" w:hanging="720"/>
        <w:rPr>
          <w:rFonts w:cs="Times New Roman"/>
          <w:szCs w:val="24"/>
        </w:rPr>
      </w:pPr>
      <w:proofErr w:type="spellStart"/>
      <w:r w:rsidRPr="00F233C6">
        <w:rPr>
          <w:rFonts w:cs="Times New Roman"/>
          <w:szCs w:val="24"/>
        </w:rPr>
        <w:t>Keshtgar</w:t>
      </w:r>
      <w:proofErr w:type="spellEnd"/>
      <w:r w:rsidRPr="00F233C6">
        <w:rPr>
          <w:rFonts w:cs="Times New Roman"/>
          <w:szCs w:val="24"/>
        </w:rPr>
        <w:t xml:space="preserve">, N., </w:t>
      </w:r>
      <w:proofErr w:type="spellStart"/>
      <w:r w:rsidRPr="00F233C6">
        <w:rPr>
          <w:rFonts w:cs="Times New Roman"/>
          <w:szCs w:val="24"/>
        </w:rPr>
        <w:t>Pahlavani</w:t>
      </w:r>
      <w:proofErr w:type="spellEnd"/>
      <w:r w:rsidRPr="00F233C6">
        <w:rPr>
          <w:rFonts w:cs="Times New Roman"/>
          <w:szCs w:val="24"/>
        </w:rPr>
        <w:t xml:space="preserve">, M., &amp; </w:t>
      </w:r>
      <w:proofErr w:type="spellStart"/>
      <w:r w:rsidRPr="00F233C6">
        <w:rPr>
          <w:rFonts w:cs="Times New Roman"/>
          <w:szCs w:val="24"/>
        </w:rPr>
        <w:t>Mirjalili</w:t>
      </w:r>
      <w:proofErr w:type="spellEnd"/>
      <w:r w:rsidRPr="00F233C6">
        <w:rPr>
          <w:rFonts w:cs="Times New Roman"/>
          <w:szCs w:val="24"/>
        </w:rPr>
        <w:t xml:space="preserve">, S. H. (2020). The impact of exchange rate volatility on banking performance (case of Iran). </w:t>
      </w:r>
      <w:r w:rsidRPr="00F233C6">
        <w:rPr>
          <w:rFonts w:cs="Times New Roman"/>
          <w:i/>
          <w:szCs w:val="24"/>
        </w:rPr>
        <w:t xml:space="preserve">International Journal of Business and Development Studies, 12(1), </w:t>
      </w:r>
      <w:r w:rsidRPr="00F233C6">
        <w:rPr>
          <w:rFonts w:cs="Times New Roman"/>
          <w:szCs w:val="24"/>
        </w:rPr>
        <w:t>39-56.</w:t>
      </w:r>
    </w:p>
    <w:p w14:paraId="09618DF8" w14:textId="77777777" w:rsidR="00F21A70" w:rsidRPr="00F233C6" w:rsidRDefault="00F21A70" w:rsidP="00F21A70">
      <w:pPr>
        <w:ind w:left="720" w:hanging="720"/>
        <w:rPr>
          <w:rFonts w:cs="Times New Roman"/>
          <w:szCs w:val="24"/>
        </w:rPr>
      </w:pPr>
      <w:proofErr w:type="spellStart"/>
      <w:r w:rsidRPr="00F233C6">
        <w:rPr>
          <w:rFonts w:cs="Times New Roman"/>
          <w:szCs w:val="24"/>
        </w:rPr>
        <w:t>Lagat</w:t>
      </w:r>
      <w:proofErr w:type="spellEnd"/>
      <w:r w:rsidRPr="00F233C6">
        <w:rPr>
          <w:rFonts w:cs="Times New Roman"/>
          <w:szCs w:val="24"/>
        </w:rPr>
        <w:t>,</w:t>
      </w:r>
      <w:r w:rsidRPr="00F233C6">
        <w:rPr>
          <w:rFonts w:cs="Times New Roman"/>
          <w:spacing w:val="-4"/>
          <w:szCs w:val="24"/>
        </w:rPr>
        <w:t xml:space="preserve"> </w:t>
      </w:r>
      <w:r w:rsidRPr="00F233C6">
        <w:rPr>
          <w:rFonts w:cs="Times New Roman"/>
          <w:szCs w:val="24"/>
        </w:rPr>
        <w:t>C.</w:t>
      </w:r>
      <w:r w:rsidRPr="00F233C6">
        <w:rPr>
          <w:rFonts w:cs="Times New Roman"/>
          <w:spacing w:val="-4"/>
          <w:szCs w:val="24"/>
        </w:rPr>
        <w:t xml:space="preserve"> </w:t>
      </w:r>
      <w:r w:rsidRPr="00F233C6">
        <w:rPr>
          <w:rFonts w:cs="Times New Roman"/>
          <w:szCs w:val="24"/>
        </w:rPr>
        <w:t>C.,</w:t>
      </w:r>
      <w:r w:rsidRPr="00F233C6">
        <w:rPr>
          <w:rFonts w:cs="Times New Roman"/>
          <w:spacing w:val="-5"/>
          <w:szCs w:val="24"/>
        </w:rPr>
        <w:t xml:space="preserve"> </w:t>
      </w:r>
      <w:r w:rsidRPr="00F233C6">
        <w:rPr>
          <w:rFonts w:cs="Times New Roman"/>
          <w:szCs w:val="24"/>
        </w:rPr>
        <w:t>&amp;</w:t>
      </w:r>
      <w:r w:rsidRPr="00F233C6">
        <w:rPr>
          <w:rFonts w:cs="Times New Roman"/>
          <w:spacing w:val="-11"/>
          <w:szCs w:val="24"/>
        </w:rPr>
        <w:t xml:space="preserve"> </w:t>
      </w:r>
      <w:proofErr w:type="spellStart"/>
      <w:r w:rsidRPr="00F233C6">
        <w:rPr>
          <w:rFonts w:cs="Times New Roman"/>
          <w:szCs w:val="24"/>
        </w:rPr>
        <w:t>Nyandema</w:t>
      </w:r>
      <w:proofErr w:type="spellEnd"/>
      <w:r w:rsidRPr="00F233C6">
        <w:rPr>
          <w:rFonts w:cs="Times New Roman"/>
          <w:szCs w:val="24"/>
        </w:rPr>
        <w:t>,</w:t>
      </w:r>
      <w:r w:rsidRPr="00F233C6">
        <w:rPr>
          <w:rFonts w:cs="Times New Roman"/>
          <w:spacing w:val="-1"/>
          <w:szCs w:val="24"/>
        </w:rPr>
        <w:t xml:space="preserve"> </w:t>
      </w:r>
      <w:r w:rsidRPr="00F233C6">
        <w:rPr>
          <w:rFonts w:cs="Times New Roman"/>
          <w:szCs w:val="24"/>
        </w:rPr>
        <w:t>D.</w:t>
      </w:r>
      <w:r w:rsidRPr="00F233C6">
        <w:rPr>
          <w:rFonts w:cs="Times New Roman"/>
          <w:spacing w:val="-11"/>
          <w:szCs w:val="24"/>
        </w:rPr>
        <w:t xml:space="preserve"> </w:t>
      </w:r>
      <w:r w:rsidRPr="00F233C6">
        <w:rPr>
          <w:rFonts w:cs="Times New Roman"/>
          <w:szCs w:val="24"/>
        </w:rPr>
        <w:t>M.</w:t>
      </w:r>
      <w:r w:rsidRPr="00F233C6">
        <w:rPr>
          <w:rFonts w:cs="Times New Roman"/>
          <w:spacing w:val="-4"/>
          <w:szCs w:val="24"/>
        </w:rPr>
        <w:t xml:space="preserve"> </w:t>
      </w:r>
      <w:r w:rsidRPr="00F233C6">
        <w:rPr>
          <w:rFonts w:cs="Times New Roman"/>
          <w:szCs w:val="24"/>
        </w:rPr>
        <w:t>(2016).</w:t>
      </w:r>
      <w:r w:rsidRPr="00F233C6">
        <w:rPr>
          <w:rFonts w:cs="Times New Roman"/>
          <w:spacing w:val="2"/>
          <w:szCs w:val="24"/>
        </w:rPr>
        <w:t xml:space="preserve"> </w:t>
      </w:r>
      <w:r w:rsidRPr="00F233C6">
        <w:rPr>
          <w:rFonts w:cs="Times New Roman"/>
          <w:szCs w:val="24"/>
        </w:rPr>
        <w:t>The</w:t>
      </w:r>
      <w:r w:rsidRPr="00F233C6">
        <w:rPr>
          <w:rFonts w:cs="Times New Roman"/>
          <w:spacing w:val="-7"/>
          <w:szCs w:val="24"/>
        </w:rPr>
        <w:t xml:space="preserve"> </w:t>
      </w:r>
      <w:r w:rsidRPr="00F233C6">
        <w:rPr>
          <w:rFonts w:cs="Times New Roman"/>
          <w:szCs w:val="24"/>
        </w:rPr>
        <w:t>influence</w:t>
      </w:r>
      <w:r w:rsidRPr="00F233C6">
        <w:rPr>
          <w:rFonts w:cs="Times New Roman"/>
          <w:spacing w:val="1"/>
          <w:szCs w:val="24"/>
        </w:rPr>
        <w:t xml:space="preserve"> </w:t>
      </w:r>
      <w:r w:rsidRPr="00F233C6">
        <w:rPr>
          <w:rFonts w:cs="Times New Roman"/>
          <w:szCs w:val="24"/>
        </w:rPr>
        <w:t>of</w:t>
      </w:r>
      <w:r w:rsidRPr="00F233C6">
        <w:rPr>
          <w:rFonts w:cs="Times New Roman"/>
          <w:spacing w:val="-12"/>
          <w:szCs w:val="24"/>
        </w:rPr>
        <w:t xml:space="preserve"> </w:t>
      </w:r>
      <w:r w:rsidRPr="00F233C6">
        <w:rPr>
          <w:rFonts w:cs="Times New Roman"/>
          <w:szCs w:val="24"/>
        </w:rPr>
        <w:t>foreign</w:t>
      </w:r>
      <w:r w:rsidRPr="00F233C6">
        <w:rPr>
          <w:rFonts w:cs="Times New Roman"/>
          <w:spacing w:val="-5"/>
          <w:szCs w:val="24"/>
        </w:rPr>
        <w:t xml:space="preserve"> </w:t>
      </w:r>
      <w:r w:rsidRPr="00F233C6">
        <w:rPr>
          <w:rFonts w:cs="Times New Roman"/>
          <w:szCs w:val="24"/>
        </w:rPr>
        <w:t>exchange</w:t>
      </w:r>
      <w:r w:rsidRPr="00F233C6">
        <w:rPr>
          <w:rFonts w:cs="Times New Roman"/>
          <w:spacing w:val="-2"/>
          <w:szCs w:val="24"/>
        </w:rPr>
        <w:t xml:space="preserve"> </w:t>
      </w:r>
      <w:r w:rsidRPr="00F233C6">
        <w:rPr>
          <w:rFonts w:cs="Times New Roman"/>
          <w:szCs w:val="24"/>
        </w:rPr>
        <w:t>rate</w:t>
      </w:r>
      <w:r w:rsidRPr="00F233C6">
        <w:rPr>
          <w:rFonts w:cs="Times New Roman"/>
          <w:spacing w:val="-10"/>
          <w:szCs w:val="24"/>
        </w:rPr>
        <w:t xml:space="preserve"> </w:t>
      </w:r>
      <w:r w:rsidRPr="00F233C6">
        <w:rPr>
          <w:rFonts w:cs="Times New Roman"/>
          <w:szCs w:val="24"/>
        </w:rPr>
        <w:t xml:space="preserve">fluctuations on the financial performance of commercial banks listed at the Nairobi Securities Exchange. </w:t>
      </w:r>
      <w:r w:rsidRPr="00F233C6">
        <w:rPr>
          <w:rFonts w:cs="Times New Roman"/>
          <w:i/>
          <w:szCs w:val="24"/>
        </w:rPr>
        <w:t xml:space="preserve">British Journal of Marketing Studies, </w:t>
      </w:r>
      <w:proofErr w:type="gramStart"/>
      <w:r w:rsidRPr="00F233C6">
        <w:rPr>
          <w:rFonts w:cs="Times New Roman"/>
          <w:szCs w:val="24"/>
        </w:rPr>
        <w:t>#(</w:t>
      </w:r>
      <w:proofErr w:type="gramEnd"/>
      <w:r w:rsidRPr="00F233C6">
        <w:rPr>
          <w:rFonts w:cs="Times New Roman"/>
          <w:szCs w:val="24"/>
        </w:rPr>
        <w:t>3),</w:t>
      </w:r>
      <w:r w:rsidRPr="00F233C6">
        <w:rPr>
          <w:rFonts w:cs="Times New Roman"/>
          <w:spacing w:val="15"/>
          <w:szCs w:val="24"/>
        </w:rPr>
        <w:t xml:space="preserve"> </w:t>
      </w:r>
      <w:r w:rsidRPr="00F233C6">
        <w:rPr>
          <w:rFonts w:cs="Times New Roman"/>
          <w:szCs w:val="24"/>
        </w:rPr>
        <w:t>1-11.</w:t>
      </w:r>
    </w:p>
    <w:p w14:paraId="7E901B10" w14:textId="77777777" w:rsidR="00F21A70" w:rsidRPr="00F233C6" w:rsidRDefault="00F21A70" w:rsidP="00F21A70">
      <w:pPr>
        <w:ind w:left="720" w:hanging="720"/>
        <w:rPr>
          <w:rFonts w:cs="Times New Roman"/>
          <w:szCs w:val="24"/>
        </w:rPr>
      </w:pPr>
      <w:r w:rsidRPr="00F233C6">
        <w:rPr>
          <w:rFonts w:cs="Times New Roman"/>
          <w:szCs w:val="24"/>
        </w:rPr>
        <w:t>Marshall, A., (1890). Principles of Economics. London: Macmillan</w:t>
      </w:r>
    </w:p>
    <w:p w14:paraId="796B28F3" w14:textId="77777777" w:rsidR="00F21A70" w:rsidRPr="00F233C6" w:rsidRDefault="00F21A70" w:rsidP="00F21A70">
      <w:pPr>
        <w:ind w:left="720" w:hanging="720"/>
        <w:rPr>
          <w:rFonts w:cs="Times New Roman"/>
          <w:color w:val="222222"/>
          <w:szCs w:val="24"/>
          <w:shd w:val="clear" w:color="auto" w:fill="FFFFFF"/>
        </w:rPr>
      </w:pPr>
      <w:proofErr w:type="spellStart"/>
      <w:r w:rsidRPr="00F233C6">
        <w:rPr>
          <w:rFonts w:cs="Times New Roman"/>
          <w:color w:val="222222"/>
          <w:szCs w:val="24"/>
          <w:shd w:val="clear" w:color="auto" w:fill="FFFFFF"/>
        </w:rPr>
        <w:t>Rutkowska-Ziarko</w:t>
      </w:r>
      <w:proofErr w:type="spellEnd"/>
      <w:r w:rsidRPr="00F233C6">
        <w:rPr>
          <w:rFonts w:cs="Times New Roman"/>
          <w:color w:val="222222"/>
          <w:szCs w:val="24"/>
          <w:shd w:val="clear" w:color="auto" w:fill="FFFFFF"/>
        </w:rPr>
        <w:t>, A. (2015). The influence of profitability ratios and company size on profitability and investment risk in the capital market. </w:t>
      </w:r>
      <w:r w:rsidRPr="00F233C6">
        <w:rPr>
          <w:rFonts w:cs="Times New Roman"/>
          <w:i/>
          <w:iCs/>
          <w:color w:val="222222"/>
          <w:szCs w:val="24"/>
          <w:shd w:val="clear" w:color="auto" w:fill="FFFFFF"/>
        </w:rPr>
        <w:t xml:space="preserve">Folia </w:t>
      </w:r>
      <w:proofErr w:type="spellStart"/>
      <w:r w:rsidRPr="00F233C6">
        <w:rPr>
          <w:rFonts w:cs="Times New Roman"/>
          <w:i/>
          <w:iCs/>
          <w:color w:val="222222"/>
          <w:szCs w:val="24"/>
          <w:shd w:val="clear" w:color="auto" w:fill="FFFFFF"/>
        </w:rPr>
        <w:t>Oeconomica</w:t>
      </w:r>
      <w:proofErr w:type="spellEnd"/>
      <w:r w:rsidRPr="00F233C6">
        <w:rPr>
          <w:rFonts w:cs="Times New Roman"/>
          <w:i/>
          <w:iCs/>
          <w:color w:val="222222"/>
          <w:szCs w:val="24"/>
          <w:shd w:val="clear" w:color="auto" w:fill="FFFFFF"/>
        </w:rPr>
        <w:t xml:space="preserve"> </w:t>
      </w:r>
      <w:proofErr w:type="spellStart"/>
      <w:r w:rsidRPr="00F233C6">
        <w:rPr>
          <w:rFonts w:cs="Times New Roman"/>
          <w:i/>
          <w:iCs/>
          <w:color w:val="222222"/>
          <w:szCs w:val="24"/>
          <w:shd w:val="clear" w:color="auto" w:fill="FFFFFF"/>
        </w:rPr>
        <w:t>Stetinensia</w:t>
      </w:r>
      <w:proofErr w:type="spellEnd"/>
      <w:r w:rsidRPr="00F233C6">
        <w:rPr>
          <w:rFonts w:cs="Times New Roman"/>
          <w:color w:val="222222"/>
          <w:szCs w:val="24"/>
          <w:shd w:val="clear" w:color="auto" w:fill="FFFFFF"/>
        </w:rPr>
        <w:t>, </w:t>
      </w:r>
      <w:r w:rsidRPr="00F233C6">
        <w:rPr>
          <w:rFonts w:cs="Times New Roman"/>
          <w:i/>
          <w:iCs/>
          <w:color w:val="222222"/>
          <w:szCs w:val="24"/>
          <w:shd w:val="clear" w:color="auto" w:fill="FFFFFF"/>
        </w:rPr>
        <w:t>15</w:t>
      </w:r>
      <w:r w:rsidRPr="00F233C6">
        <w:rPr>
          <w:rFonts w:cs="Times New Roman"/>
          <w:color w:val="222222"/>
          <w:szCs w:val="24"/>
          <w:shd w:val="clear" w:color="auto" w:fill="FFFFFF"/>
        </w:rPr>
        <w:t>(1), 151-161.</w:t>
      </w:r>
    </w:p>
    <w:p w14:paraId="1F0EE119" w14:textId="77777777" w:rsidR="00F21A70" w:rsidRPr="00F233C6" w:rsidRDefault="00F21A70" w:rsidP="00F21A70">
      <w:pPr>
        <w:ind w:left="720" w:hanging="720"/>
        <w:rPr>
          <w:rFonts w:cs="Times New Roman"/>
          <w:color w:val="222222"/>
          <w:szCs w:val="24"/>
          <w:shd w:val="clear" w:color="auto" w:fill="FFFFFF"/>
        </w:rPr>
      </w:pPr>
      <w:proofErr w:type="spellStart"/>
      <w:r w:rsidRPr="00F233C6">
        <w:rPr>
          <w:rFonts w:cs="Times New Roman"/>
          <w:color w:val="222222"/>
          <w:szCs w:val="24"/>
          <w:shd w:val="clear" w:color="auto" w:fill="FFFFFF"/>
        </w:rPr>
        <w:t>Tibesigwa</w:t>
      </w:r>
      <w:proofErr w:type="spellEnd"/>
      <w:r w:rsidRPr="00F233C6">
        <w:rPr>
          <w:rFonts w:cs="Times New Roman"/>
          <w:color w:val="222222"/>
          <w:szCs w:val="24"/>
          <w:shd w:val="clear" w:color="auto" w:fill="FFFFFF"/>
        </w:rPr>
        <w:t xml:space="preserve">, W., Kaberuka, W., &amp; </w:t>
      </w:r>
      <w:proofErr w:type="spellStart"/>
      <w:r w:rsidRPr="00F233C6">
        <w:rPr>
          <w:rFonts w:cs="Times New Roman"/>
          <w:color w:val="222222"/>
          <w:szCs w:val="24"/>
          <w:shd w:val="clear" w:color="auto" w:fill="FFFFFF"/>
        </w:rPr>
        <w:t>Watundu</w:t>
      </w:r>
      <w:proofErr w:type="spellEnd"/>
      <w:r w:rsidRPr="00F233C6">
        <w:rPr>
          <w:rFonts w:cs="Times New Roman"/>
          <w:color w:val="222222"/>
          <w:szCs w:val="24"/>
          <w:shd w:val="clear" w:color="auto" w:fill="FFFFFF"/>
        </w:rPr>
        <w:t>, S. (2014). Volatility analysis of exchange rate of emerging economies: a case of East African Countries (1990-2010). </w:t>
      </w:r>
      <w:r w:rsidRPr="00F233C6">
        <w:rPr>
          <w:rFonts w:cs="Times New Roman"/>
          <w:i/>
          <w:iCs/>
          <w:color w:val="222222"/>
          <w:szCs w:val="24"/>
          <w:shd w:val="clear" w:color="auto" w:fill="FFFFFF"/>
        </w:rPr>
        <w:t>African Journal of Economic Review</w:t>
      </w:r>
      <w:r w:rsidRPr="00F233C6">
        <w:rPr>
          <w:rFonts w:cs="Times New Roman"/>
          <w:color w:val="222222"/>
          <w:szCs w:val="24"/>
          <w:shd w:val="clear" w:color="auto" w:fill="FFFFFF"/>
        </w:rPr>
        <w:t>, </w:t>
      </w:r>
      <w:r w:rsidRPr="00F233C6">
        <w:rPr>
          <w:rFonts w:cs="Times New Roman"/>
          <w:i/>
          <w:iCs/>
          <w:color w:val="222222"/>
          <w:szCs w:val="24"/>
          <w:shd w:val="clear" w:color="auto" w:fill="FFFFFF"/>
        </w:rPr>
        <w:t>2</w:t>
      </w:r>
      <w:r w:rsidRPr="00F233C6">
        <w:rPr>
          <w:rFonts w:cs="Times New Roman"/>
          <w:color w:val="222222"/>
          <w:szCs w:val="24"/>
          <w:shd w:val="clear" w:color="auto" w:fill="FFFFFF"/>
        </w:rPr>
        <w:t>(2), 53-70.</w:t>
      </w:r>
    </w:p>
    <w:p w14:paraId="18DE4870" w14:textId="77777777" w:rsidR="00F21A70" w:rsidRPr="00F233C6" w:rsidRDefault="00F21A70" w:rsidP="00F21A70">
      <w:pPr>
        <w:ind w:left="720" w:hanging="720"/>
        <w:rPr>
          <w:rFonts w:cs="Times New Roman"/>
          <w:color w:val="222222"/>
          <w:szCs w:val="24"/>
          <w:shd w:val="clear" w:color="auto" w:fill="FFFFFF"/>
        </w:rPr>
      </w:pPr>
      <w:r w:rsidRPr="00F233C6">
        <w:rPr>
          <w:rFonts w:cs="Times New Roman"/>
          <w:color w:val="222222"/>
          <w:szCs w:val="24"/>
          <w:shd w:val="clear" w:color="auto" w:fill="FFFFFF"/>
        </w:rPr>
        <w:t>Tobias, O., &amp; Themba, M. S. (2011). Effects of banking sectoral factors on the profitability of commercial banks in Kenya. </w:t>
      </w:r>
      <w:r w:rsidRPr="00F233C6">
        <w:rPr>
          <w:rFonts w:cs="Times New Roman"/>
          <w:i/>
          <w:iCs/>
          <w:color w:val="222222"/>
          <w:szCs w:val="24"/>
          <w:shd w:val="clear" w:color="auto" w:fill="FFFFFF"/>
        </w:rPr>
        <w:t>Economics and Finance Review</w:t>
      </w:r>
      <w:r w:rsidRPr="00F233C6">
        <w:rPr>
          <w:rFonts w:cs="Times New Roman"/>
          <w:color w:val="222222"/>
          <w:szCs w:val="24"/>
          <w:shd w:val="clear" w:color="auto" w:fill="FFFFFF"/>
        </w:rPr>
        <w:t>, </w:t>
      </w:r>
      <w:r w:rsidRPr="00F233C6">
        <w:rPr>
          <w:rFonts w:cs="Times New Roman"/>
          <w:i/>
          <w:iCs/>
          <w:color w:val="222222"/>
          <w:szCs w:val="24"/>
          <w:shd w:val="clear" w:color="auto" w:fill="FFFFFF"/>
        </w:rPr>
        <w:t>1</w:t>
      </w:r>
      <w:r w:rsidRPr="00F233C6">
        <w:rPr>
          <w:rFonts w:cs="Times New Roman"/>
          <w:color w:val="222222"/>
          <w:szCs w:val="24"/>
          <w:shd w:val="clear" w:color="auto" w:fill="FFFFFF"/>
        </w:rPr>
        <w:t>(5), 1-30.</w:t>
      </w:r>
    </w:p>
    <w:p w14:paraId="228DA7B0" w14:textId="7D8CAA76" w:rsidR="00F21A70" w:rsidRPr="00F233C6" w:rsidRDefault="00F21A70" w:rsidP="00F21A70">
      <w:pPr>
        <w:ind w:left="720" w:hanging="720"/>
        <w:rPr>
          <w:rFonts w:cs="Times New Roman"/>
          <w:color w:val="222222"/>
          <w:szCs w:val="24"/>
          <w:shd w:val="clear" w:color="auto" w:fill="FFFFFF"/>
        </w:rPr>
      </w:pPr>
      <w:proofErr w:type="spellStart"/>
      <w:r w:rsidRPr="00F233C6">
        <w:rPr>
          <w:rFonts w:cs="Times New Roman"/>
          <w:color w:val="222222"/>
          <w:szCs w:val="24"/>
          <w:shd w:val="clear" w:color="auto" w:fill="FFFFFF"/>
        </w:rPr>
        <w:t>Wahdan</w:t>
      </w:r>
      <w:proofErr w:type="spellEnd"/>
      <w:r w:rsidRPr="00F233C6">
        <w:rPr>
          <w:rFonts w:cs="Times New Roman"/>
          <w:color w:val="222222"/>
          <w:szCs w:val="24"/>
          <w:shd w:val="clear" w:color="auto" w:fill="FFFFFF"/>
        </w:rPr>
        <w:t xml:space="preserve">, M., &amp; </w:t>
      </w:r>
      <w:proofErr w:type="spellStart"/>
      <w:r w:rsidRPr="00F233C6">
        <w:rPr>
          <w:rFonts w:cs="Times New Roman"/>
          <w:color w:val="222222"/>
          <w:szCs w:val="24"/>
          <w:shd w:val="clear" w:color="auto" w:fill="FFFFFF"/>
        </w:rPr>
        <w:t>Leithy</w:t>
      </w:r>
      <w:proofErr w:type="spellEnd"/>
      <w:r w:rsidRPr="00F233C6">
        <w:rPr>
          <w:rFonts w:cs="Times New Roman"/>
          <w:color w:val="222222"/>
          <w:szCs w:val="24"/>
          <w:shd w:val="clear" w:color="auto" w:fill="FFFFFF"/>
        </w:rPr>
        <w:t>, W. (2017). Factors affecting the profitability of commercial banks in Egypt over the last 5 year</w:t>
      </w:r>
      <w:r w:rsidR="00097BFD">
        <w:rPr>
          <w:rFonts w:cs="Times New Roman"/>
          <w:color w:val="222222"/>
          <w:szCs w:val="24"/>
          <w:shd w:val="clear" w:color="auto" w:fill="FFFFFF"/>
        </w:rPr>
        <w:t>s</w:t>
      </w:r>
      <w:r w:rsidRPr="00F233C6">
        <w:rPr>
          <w:rFonts w:cs="Times New Roman"/>
          <w:color w:val="222222"/>
          <w:szCs w:val="24"/>
          <w:shd w:val="clear" w:color="auto" w:fill="FFFFFF"/>
        </w:rPr>
        <w:t xml:space="preserve"> (2011–2015). </w:t>
      </w:r>
      <w:r w:rsidRPr="00F233C6">
        <w:rPr>
          <w:rFonts w:cs="Times New Roman"/>
          <w:i/>
          <w:iCs/>
          <w:color w:val="222222"/>
          <w:szCs w:val="24"/>
          <w:shd w:val="clear" w:color="auto" w:fill="FFFFFF"/>
        </w:rPr>
        <w:t>International Business Management</w:t>
      </w:r>
      <w:r w:rsidRPr="00F233C6">
        <w:rPr>
          <w:rFonts w:cs="Times New Roman"/>
          <w:color w:val="222222"/>
          <w:szCs w:val="24"/>
          <w:shd w:val="clear" w:color="auto" w:fill="FFFFFF"/>
        </w:rPr>
        <w:t>, </w:t>
      </w:r>
      <w:r w:rsidRPr="00F233C6">
        <w:rPr>
          <w:rFonts w:cs="Times New Roman"/>
          <w:i/>
          <w:iCs/>
          <w:color w:val="222222"/>
          <w:szCs w:val="24"/>
          <w:shd w:val="clear" w:color="auto" w:fill="FFFFFF"/>
        </w:rPr>
        <w:t>11</w:t>
      </w:r>
      <w:r w:rsidRPr="00F233C6">
        <w:rPr>
          <w:rFonts w:cs="Times New Roman"/>
          <w:color w:val="222222"/>
          <w:szCs w:val="24"/>
          <w:shd w:val="clear" w:color="auto" w:fill="FFFFFF"/>
        </w:rPr>
        <w:t>(2), 342-349.</w:t>
      </w:r>
    </w:p>
    <w:p w14:paraId="2F66CADA" w14:textId="77777777" w:rsidR="00F21A70" w:rsidRPr="00F233C6" w:rsidRDefault="00F21A70" w:rsidP="00F21A70">
      <w:pPr>
        <w:ind w:left="720" w:hanging="720"/>
        <w:rPr>
          <w:rFonts w:cs="Times New Roman"/>
          <w:szCs w:val="24"/>
        </w:rPr>
      </w:pPr>
      <w:r w:rsidRPr="00F233C6">
        <w:rPr>
          <w:rFonts w:cs="Times New Roman"/>
          <w:szCs w:val="24"/>
        </w:rPr>
        <w:t>Wong, R. E. (2012). Profit Maximization and Alternative Theories: A Dynamic Reconciliation.</w:t>
      </w:r>
    </w:p>
    <w:p w14:paraId="1580E4B7" w14:textId="77777777" w:rsidR="00F21A70" w:rsidRPr="00F233C6" w:rsidRDefault="00F21A70" w:rsidP="00F21A70">
      <w:pPr>
        <w:ind w:left="720" w:hanging="720"/>
        <w:rPr>
          <w:rFonts w:cs="Times New Roman"/>
          <w:szCs w:val="24"/>
        </w:rPr>
      </w:pPr>
      <w:proofErr w:type="spellStart"/>
      <w:r w:rsidRPr="00F233C6">
        <w:rPr>
          <w:rFonts w:cs="Times New Roman"/>
          <w:color w:val="222222"/>
          <w:szCs w:val="24"/>
          <w:shd w:val="clear" w:color="auto" w:fill="FFFFFF"/>
        </w:rPr>
        <w:t>Yabu</w:t>
      </w:r>
      <w:proofErr w:type="spellEnd"/>
      <w:r w:rsidRPr="00F233C6">
        <w:rPr>
          <w:rFonts w:cs="Times New Roman"/>
          <w:color w:val="222222"/>
          <w:szCs w:val="24"/>
          <w:shd w:val="clear" w:color="auto" w:fill="FFFFFF"/>
        </w:rPr>
        <w:t xml:space="preserve">, N., &amp; </w:t>
      </w:r>
      <w:proofErr w:type="spellStart"/>
      <w:r w:rsidRPr="00F233C6">
        <w:rPr>
          <w:rFonts w:cs="Times New Roman"/>
          <w:color w:val="222222"/>
          <w:szCs w:val="24"/>
          <w:shd w:val="clear" w:color="auto" w:fill="FFFFFF"/>
        </w:rPr>
        <w:t>Kimolo</w:t>
      </w:r>
      <w:proofErr w:type="spellEnd"/>
      <w:r w:rsidRPr="00F233C6">
        <w:rPr>
          <w:rFonts w:cs="Times New Roman"/>
          <w:color w:val="222222"/>
          <w:szCs w:val="24"/>
          <w:shd w:val="clear" w:color="auto" w:fill="FFFFFF"/>
        </w:rPr>
        <w:t>, D. (2020). Exchange Rate Volatility and Its Implications on Macroeconomic Variables in East African Countries. </w:t>
      </w:r>
      <w:r w:rsidRPr="00F233C6">
        <w:rPr>
          <w:rFonts w:cs="Times New Roman"/>
          <w:i/>
          <w:iCs/>
          <w:color w:val="222222"/>
          <w:szCs w:val="24"/>
          <w:shd w:val="clear" w:color="auto" w:fill="FFFFFF"/>
        </w:rPr>
        <w:t>Applied Economics and Finance</w:t>
      </w:r>
      <w:r w:rsidRPr="00F233C6">
        <w:rPr>
          <w:rFonts w:cs="Times New Roman"/>
          <w:color w:val="222222"/>
          <w:szCs w:val="24"/>
          <w:shd w:val="clear" w:color="auto" w:fill="FFFFFF"/>
        </w:rPr>
        <w:t>, </w:t>
      </w:r>
      <w:r w:rsidRPr="00F233C6">
        <w:rPr>
          <w:rFonts w:cs="Times New Roman"/>
          <w:i/>
          <w:iCs/>
          <w:color w:val="222222"/>
          <w:szCs w:val="24"/>
          <w:shd w:val="clear" w:color="auto" w:fill="FFFFFF"/>
        </w:rPr>
        <w:t>7</w:t>
      </w:r>
      <w:r w:rsidRPr="00F233C6">
        <w:rPr>
          <w:rFonts w:cs="Times New Roman"/>
          <w:color w:val="222222"/>
          <w:szCs w:val="24"/>
          <w:shd w:val="clear" w:color="auto" w:fill="FFFFFF"/>
        </w:rPr>
        <w:t>(3), 145-171.</w:t>
      </w:r>
    </w:p>
    <w:p w14:paraId="580CCF62" w14:textId="77777777" w:rsidR="00F21A70" w:rsidRDefault="00F21A70" w:rsidP="00013415">
      <w:pPr>
        <w:rPr>
          <w:i/>
          <w:iCs/>
        </w:rPr>
      </w:pPr>
    </w:p>
    <w:sectPr w:rsidR="00F21A70" w:rsidSect="00F21A70">
      <w:headerReference w:type="default" r:id="rId12"/>
      <w:footerReference w:type="default" r:id="rId13"/>
      <w:headerReference w:type="first" r:id="rId14"/>
      <w:footerReference w:type="first" r:id="rId15"/>
      <w:pgSz w:w="11907" w:h="16839" w:code="9"/>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9AD9" w14:textId="77777777" w:rsidR="00842AD1" w:rsidRDefault="00842AD1" w:rsidP="004870A7">
      <w:pPr>
        <w:spacing w:after="0"/>
      </w:pPr>
      <w:r>
        <w:separator/>
      </w:r>
    </w:p>
  </w:endnote>
  <w:endnote w:type="continuationSeparator" w:id="0">
    <w:p w14:paraId="3D6ABEEB" w14:textId="77777777" w:rsidR="00842AD1" w:rsidRDefault="00842AD1" w:rsidP="00487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49501"/>
      <w:docPartObj>
        <w:docPartGallery w:val="Page Numbers (Bottom of Page)"/>
        <w:docPartUnique/>
      </w:docPartObj>
    </w:sdtPr>
    <w:sdtEndPr>
      <w:rPr>
        <w:noProof/>
      </w:rPr>
    </w:sdtEndPr>
    <w:sdtContent>
      <w:p w14:paraId="5526028D" w14:textId="77777777" w:rsidR="00FC6661" w:rsidRDefault="00FC6661">
        <w:pPr>
          <w:pStyle w:val="Footer"/>
          <w:jc w:val="center"/>
        </w:pPr>
        <w:r>
          <w:fldChar w:fldCharType="begin"/>
        </w:r>
        <w:r>
          <w:instrText xml:space="preserve"> PAGE   \* MERGEFORMAT </w:instrText>
        </w:r>
        <w:r>
          <w:fldChar w:fldCharType="separate"/>
        </w:r>
        <w:r w:rsidR="00312AD1">
          <w:rPr>
            <w:noProof/>
          </w:rPr>
          <w:t>1</w:t>
        </w:r>
        <w:r>
          <w:rPr>
            <w:noProof/>
          </w:rPr>
          <w:fldChar w:fldCharType="end"/>
        </w:r>
      </w:p>
    </w:sdtContent>
  </w:sdt>
  <w:p w14:paraId="2E3CCF96" w14:textId="77777777" w:rsidR="00FC6661" w:rsidRDefault="00FC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664498"/>
      <w:docPartObj>
        <w:docPartGallery w:val="Page Numbers (Bottom of Page)"/>
        <w:docPartUnique/>
      </w:docPartObj>
    </w:sdtPr>
    <w:sdtEndPr>
      <w:rPr>
        <w:noProof/>
      </w:rPr>
    </w:sdtEndPr>
    <w:sdtContent>
      <w:p w14:paraId="212A4142" w14:textId="77777777" w:rsidR="00FC6661" w:rsidRDefault="00FC66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164396" w14:textId="77777777" w:rsidR="00FC6661" w:rsidRDefault="00FC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A68B" w14:textId="77777777" w:rsidR="00842AD1" w:rsidRDefault="00842AD1" w:rsidP="004870A7">
      <w:pPr>
        <w:spacing w:after="0"/>
      </w:pPr>
      <w:r>
        <w:separator/>
      </w:r>
    </w:p>
  </w:footnote>
  <w:footnote w:type="continuationSeparator" w:id="0">
    <w:p w14:paraId="20D3FE88" w14:textId="77777777" w:rsidR="00842AD1" w:rsidRDefault="00842AD1" w:rsidP="00487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0079" w14:textId="0746C7F4" w:rsidR="0052203C" w:rsidRPr="0052203C" w:rsidRDefault="004870A7" w:rsidP="00B77D9C">
    <w:pPr>
      <w:spacing w:before="0" w:after="0"/>
      <w:ind w:left="-1008"/>
      <w:jc w:val="left"/>
      <w:rPr>
        <w:b/>
        <w:color w:val="2F5496" w:themeColor="accent5" w:themeShade="BF"/>
      </w:rPr>
    </w:pPr>
    <w:r w:rsidRPr="0052203C">
      <w:rPr>
        <w:b/>
        <w:noProof/>
        <w:color w:val="2F5496" w:themeColor="accent5" w:themeShade="BF"/>
      </w:rPr>
      <w:drawing>
        <wp:anchor distT="0" distB="0" distL="114300" distR="114300" simplePos="0" relativeHeight="251649536" behindDoc="1" locked="0" layoutInCell="1" allowOverlap="1" wp14:anchorId="166A2AD4" wp14:editId="1C3CD994">
          <wp:simplePos x="0" y="0"/>
          <wp:positionH relativeFrom="column">
            <wp:posOffset>3706332</wp:posOffset>
          </wp:positionH>
          <wp:positionV relativeFrom="paragraph">
            <wp:posOffset>-280670</wp:posOffset>
          </wp:positionV>
          <wp:extent cx="2661285" cy="963696"/>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1285" cy="963696"/>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2203C">
      <w:rPr>
        <w:b/>
        <w:color w:val="2F5496" w:themeColor="accent5" w:themeShade="BF"/>
      </w:rPr>
      <w:t>EdinBurg</w:t>
    </w:r>
    <w:proofErr w:type="spellEnd"/>
    <w:r w:rsidRPr="0052203C">
      <w:rPr>
        <w:b/>
        <w:color w:val="2F5496" w:themeColor="accent5" w:themeShade="BF"/>
      </w:rPr>
      <w:t xml:space="preserve"> Peer Revie</w:t>
    </w:r>
    <w:r w:rsidR="0052203C" w:rsidRPr="0052203C">
      <w:rPr>
        <w:b/>
        <w:color w:val="2F5496" w:themeColor="accent5" w:themeShade="BF"/>
      </w:rPr>
      <w:t>wed Journals and Book</w:t>
    </w:r>
    <w:r w:rsidR="00805719">
      <w:rPr>
        <w:b/>
        <w:color w:val="2F5496" w:themeColor="accent5" w:themeShade="BF"/>
      </w:rPr>
      <w:t>s</w:t>
    </w:r>
    <w:r w:rsidR="0052203C" w:rsidRPr="0052203C">
      <w:rPr>
        <w:b/>
        <w:color w:val="2F5496" w:themeColor="accent5" w:themeShade="BF"/>
      </w:rPr>
      <w:t xml:space="preserve"> </w:t>
    </w:r>
    <w:r w:rsidRPr="0052203C">
      <w:rPr>
        <w:b/>
        <w:color w:val="2F5496" w:themeColor="accent5" w:themeShade="BF"/>
      </w:rPr>
      <w:t>Publishers</w:t>
    </w:r>
  </w:p>
  <w:p w14:paraId="54D80CE1" w14:textId="14F3CC80" w:rsidR="0052203C" w:rsidRPr="0052203C" w:rsidRDefault="00B77D9C" w:rsidP="00B77D9C">
    <w:pPr>
      <w:spacing w:before="0" w:after="0"/>
      <w:ind w:left="-1008"/>
      <w:jc w:val="left"/>
      <w:rPr>
        <w:b/>
        <w:color w:val="2F5496" w:themeColor="accent5" w:themeShade="BF"/>
      </w:rPr>
    </w:pPr>
    <w:r>
      <w:rPr>
        <w:b/>
        <w:color w:val="2F5496" w:themeColor="accent5" w:themeShade="BF"/>
      </w:rPr>
      <w:t xml:space="preserve">Journal of </w:t>
    </w:r>
    <w:r w:rsidR="00E310FE">
      <w:rPr>
        <w:b/>
        <w:color w:val="2F5496" w:themeColor="accent5" w:themeShade="BF"/>
      </w:rPr>
      <w:t>Economics</w:t>
    </w:r>
  </w:p>
  <w:p w14:paraId="7F72F55E" w14:textId="467F6E56" w:rsidR="0052203C" w:rsidRDefault="00805719" w:rsidP="00B77D9C">
    <w:pPr>
      <w:spacing w:before="0" w:after="0"/>
      <w:ind w:left="-1008"/>
      <w:jc w:val="left"/>
      <w:rPr>
        <w:b/>
        <w:color w:val="2F5496" w:themeColor="accent5" w:themeShade="BF"/>
      </w:rPr>
    </w:pPr>
    <w:r>
      <w:rPr>
        <w:b/>
        <w:color w:val="2F5496" w:themeColor="accent5" w:themeShade="BF"/>
      </w:rPr>
      <w:t xml:space="preserve">Vol. </w:t>
    </w:r>
    <w:r w:rsidR="00912F91">
      <w:rPr>
        <w:b/>
        <w:color w:val="2F5496" w:themeColor="accent5" w:themeShade="BF"/>
      </w:rPr>
      <w:t>2</w:t>
    </w:r>
    <w:r w:rsidR="00535692">
      <w:rPr>
        <w:b/>
        <w:color w:val="2F5496" w:themeColor="accent5" w:themeShade="BF"/>
      </w:rPr>
      <w:t>,</w:t>
    </w:r>
    <w:r w:rsidR="00FB2196">
      <w:rPr>
        <w:b/>
        <w:color w:val="2F5496" w:themeColor="accent5" w:themeShade="BF"/>
      </w:rPr>
      <w:t xml:space="preserve"> </w:t>
    </w:r>
    <w:r w:rsidR="00FB51B5">
      <w:rPr>
        <w:b/>
        <w:color w:val="2F5496" w:themeColor="accent5" w:themeShade="BF"/>
      </w:rPr>
      <w:t xml:space="preserve">No. </w:t>
    </w:r>
    <w:r w:rsidR="00F21A70">
      <w:rPr>
        <w:b/>
        <w:color w:val="2F5496" w:themeColor="accent5" w:themeShade="BF"/>
      </w:rPr>
      <w:t>2</w:t>
    </w:r>
    <w:r w:rsidR="00535692">
      <w:rPr>
        <w:b/>
        <w:color w:val="2F5496" w:themeColor="accent5" w:themeShade="BF"/>
      </w:rPr>
      <w:t xml:space="preserve">, </w:t>
    </w:r>
    <w:r w:rsidR="00C27E3A">
      <w:rPr>
        <w:b/>
        <w:color w:val="2F5496" w:themeColor="accent5" w:themeShade="BF"/>
      </w:rPr>
      <w:t>pp</w:t>
    </w:r>
    <w:r w:rsidR="00535692">
      <w:rPr>
        <w:b/>
        <w:color w:val="2F5496" w:themeColor="accent5" w:themeShade="BF"/>
      </w:rPr>
      <w:t>.</w:t>
    </w:r>
    <w:r>
      <w:rPr>
        <w:b/>
        <w:color w:val="2F5496" w:themeColor="accent5" w:themeShade="BF"/>
      </w:rPr>
      <w:t xml:space="preserve"> </w:t>
    </w:r>
    <w:r w:rsidR="005D234D">
      <w:rPr>
        <w:b/>
        <w:color w:val="2F5496" w:themeColor="accent5" w:themeShade="BF"/>
      </w:rPr>
      <w:t>1</w:t>
    </w:r>
    <w:r w:rsidR="00C7290E">
      <w:rPr>
        <w:b/>
        <w:color w:val="2F5496" w:themeColor="accent5" w:themeShade="BF"/>
      </w:rPr>
      <w:t>-</w:t>
    </w:r>
    <w:r w:rsidR="00F21A70">
      <w:rPr>
        <w:b/>
        <w:color w:val="2F5496" w:themeColor="accent5" w:themeShade="BF"/>
      </w:rPr>
      <w:t>1</w:t>
    </w:r>
    <w:r w:rsidR="00E310FE">
      <w:rPr>
        <w:b/>
        <w:color w:val="2F5496" w:themeColor="accent5" w:themeShade="BF"/>
      </w:rPr>
      <w:t>2</w:t>
    </w:r>
    <w:r w:rsidR="00535692">
      <w:rPr>
        <w:b/>
        <w:color w:val="2F5496" w:themeColor="accent5" w:themeShade="BF"/>
      </w:rPr>
      <w:t>:</w:t>
    </w:r>
    <w:r w:rsidR="00E310FE">
      <w:rPr>
        <w:b/>
        <w:color w:val="2F5496" w:themeColor="accent5" w:themeShade="BF"/>
      </w:rPr>
      <w:t xml:space="preserve"> December 2022.</w:t>
    </w:r>
  </w:p>
  <w:p w14:paraId="39DA8CC3" w14:textId="41718C1F" w:rsidR="00FB51B5" w:rsidRPr="0052203C" w:rsidRDefault="00FB51B5" w:rsidP="00B77D9C">
    <w:pPr>
      <w:spacing w:before="0" w:after="0"/>
      <w:ind w:left="-1008"/>
      <w:jc w:val="left"/>
      <w:rPr>
        <w:b/>
        <w:color w:val="2F5496" w:themeColor="accent5" w:themeShade="BF"/>
      </w:rPr>
    </w:pPr>
    <w:r>
      <w:rPr>
        <w:rFonts w:eastAsia="Times New Roman"/>
        <w:noProof/>
      </w:rPr>
      <mc:AlternateContent>
        <mc:Choice Requires="wps">
          <w:drawing>
            <wp:anchor distT="0" distB="0" distL="114300" distR="114300" simplePos="0" relativeHeight="251719168" behindDoc="0" locked="0" layoutInCell="1" allowOverlap="1" wp14:anchorId="6A53DC39" wp14:editId="56E0D7BB">
              <wp:simplePos x="0" y="0"/>
              <wp:positionH relativeFrom="column">
                <wp:posOffset>-914400</wp:posOffset>
              </wp:positionH>
              <wp:positionV relativeFrom="paragraph">
                <wp:posOffset>198120</wp:posOffset>
              </wp:positionV>
              <wp:extent cx="7924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924800" cy="0"/>
                      </a:xfrm>
                      <a:prstGeom prst="line">
                        <a:avLst/>
                      </a:prstGeom>
                      <a:ln w="19050">
                        <a:solidFill>
                          <a:srgbClr val="00206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37395B8" id="Straight Connector 1" o:spid="_x0000_s1026" style="position:absolute;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5.6pt" to="5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" strokecolor="#002060" strokeweight="1.5pt">
              <v:stroke joinstyle="miter"/>
            </v:line>
          </w:pict>
        </mc:Fallback>
      </mc:AlternateContent>
    </w:r>
    <w:r>
      <w:rPr>
        <w:b/>
        <w:color w:val="2F5496" w:themeColor="accent5" w:themeShade="BF"/>
      </w:rPr>
      <w:t>Email: info@edinburgjournals.org</w:t>
    </w:r>
  </w:p>
  <w:p w14:paraId="327E5EDB" w14:textId="77777777" w:rsidR="004870A7" w:rsidRPr="004870A7" w:rsidRDefault="004870A7" w:rsidP="004870A7">
    <w:pPr>
      <w:spacing w:line="20" w:lineRule="exact"/>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F3BB" w14:textId="77777777" w:rsidR="004116FB" w:rsidRDefault="00565874">
    <w:pPr>
      <w:pStyle w:val="Header"/>
    </w:pPr>
    <w:r>
      <w:rPr>
        <w:noProof/>
      </w:rPr>
      <mc:AlternateContent>
        <mc:Choice Requires="wps">
          <w:drawing>
            <wp:anchor distT="45720" distB="45720" distL="114300" distR="114300" simplePos="0" relativeHeight="251658752" behindDoc="0" locked="0" layoutInCell="1" allowOverlap="1" wp14:anchorId="64F87F7F" wp14:editId="64998DFC">
              <wp:simplePos x="0" y="0"/>
              <wp:positionH relativeFrom="page">
                <wp:posOffset>5314950</wp:posOffset>
              </wp:positionH>
              <wp:positionV relativeFrom="paragraph">
                <wp:posOffset>-295275</wp:posOffset>
              </wp:positionV>
              <wp:extent cx="2257425" cy="7429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42950"/>
                      </a:xfrm>
                      <a:prstGeom prst="rect">
                        <a:avLst/>
                      </a:prstGeom>
                      <a:solidFill>
                        <a:srgbClr val="FFFFFF"/>
                      </a:solidFill>
                      <a:ln w="9525">
                        <a:noFill/>
                        <a:miter lim="800000"/>
                        <a:headEnd/>
                        <a:tailEnd/>
                      </a:ln>
                    </wps:spPr>
                    <wps:txbx>
                      <w:txbxContent>
                        <w:p w14:paraId="70ACB47C" w14:textId="77777777" w:rsidR="00565874" w:rsidRPr="00565874" w:rsidRDefault="00565874" w:rsidP="00565874">
                          <w:pPr>
                            <w:spacing w:line="216" w:lineRule="auto"/>
                            <w:contextualSpacing/>
                            <w:jc w:val="center"/>
                            <w:rPr>
                              <w:rFonts w:ascii="Arial" w:hAnsi="Arial" w:cs="Arial"/>
                            </w:rPr>
                          </w:pPr>
                          <w:r w:rsidRPr="00565874">
                            <w:rPr>
                              <w:rFonts w:ascii="Arial" w:hAnsi="Arial" w:cs="Arial"/>
                            </w:rPr>
                            <w:t>ISSN: XXX-XXXX</w:t>
                          </w:r>
                        </w:p>
                        <w:p w14:paraId="2C94E4A5"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Journal of Public Policy &amp;</w:t>
                          </w:r>
                        </w:p>
                        <w:p w14:paraId="6714617C"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Governance</w:t>
                          </w:r>
                        </w:p>
                        <w:p w14:paraId="13ECC032" w14:textId="77777777" w:rsidR="00565874" w:rsidRPr="00565874" w:rsidRDefault="00565874" w:rsidP="00565874">
                          <w:pPr>
                            <w:spacing w:line="216" w:lineRule="auto"/>
                            <w:contextualSpacing/>
                            <w:jc w:val="center"/>
                            <w:rPr>
                              <w:rFonts w:ascii="Arial" w:hAnsi="Arial" w:cs="Arial"/>
                              <w:i/>
                            </w:rPr>
                          </w:pPr>
                          <w:r w:rsidRPr="00565874">
                            <w:rPr>
                              <w:rFonts w:ascii="Arial" w:hAnsi="Arial" w:cs="Arial"/>
                              <w:i/>
                            </w:rPr>
                            <w:t>www.edinburgjournals.org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87F7F" id="_x0000_t202" coordsize="21600,21600" o:spt="202" path="m,l,21600r21600,l21600,xe">
              <v:stroke joinstyle="miter"/>
              <v:path gradientshapeok="t" o:connecttype="rect"/>
            </v:shapetype>
            <v:shape id="Text Box 2" o:spid="_x0000_s1026" type="#_x0000_t202" style="position:absolute;left:0;text-align:left;margin-left:418.5pt;margin-top:-23.25pt;width:177.75pt;height:58.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" stroked="f">
              <v:textbox>
                <w:txbxContent>
                  <w:p w14:paraId="70ACB47C" w14:textId="77777777" w:rsidR="00565874" w:rsidRPr="00565874" w:rsidRDefault="00565874" w:rsidP="00565874">
                    <w:pPr>
                      <w:spacing w:line="216" w:lineRule="auto"/>
                      <w:contextualSpacing/>
                      <w:jc w:val="center"/>
                      <w:rPr>
                        <w:rFonts w:ascii="Arial" w:hAnsi="Arial" w:cs="Arial"/>
                      </w:rPr>
                    </w:pPr>
                    <w:r w:rsidRPr="00565874">
                      <w:rPr>
                        <w:rFonts w:ascii="Arial" w:hAnsi="Arial" w:cs="Arial"/>
                      </w:rPr>
                      <w:t>ISSN: XXX-XXXX</w:t>
                    </w:r>
                  </w:p>
                  <w:p w14:paraId="2C94E4A5"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Journal of Public Policy &amp;</w:t>
                    </w:r>
                  </w:p>
                  <w:p w14:paraId="6714617C"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Governance</w:t>
                    </w:r>
                  </w:p>
                  <w:p w14:paraId="13ECC032" w14:textId="77777777" w:rsidR="00565874" w:rsidRPr="00565874" w:rsidRDefault="00565874" w:rsidP="00565874">
                    <w:pPr>
                      <w:spacing w:line="216" w:lineRule="auto"/>
                      <w:contextualSpacing/>
                      <w:jc w:val="center"/>
                      <w:rPr>
                        <w:rFonts w:ascii="Arial" w:hAnsi="Arial" w:cs="Arial"/>
                        <w:i/>
                      </w:rPr>
                    </w:pPr>
                    <w:r w:rsidRPr="00565874">
                      <w:rPr>
                        <w:rFonts w:ascii="Arial" w:hAnsi="Arial" w:cs="Arial"/>
                        <w:i/>
                      </w:rPr>
                      <w:t>www.edinburgjournals.org</w:t>
                    </w:r>
                  </w:p>
                </w:txbxContent>
              </v:textbox>
              <w10:wrap type="square" anchorx="page"/>
            </v:shape>
          </w:pict>
        </mc:Fallback>
      </mc:AlternateContent>
    </w:r>
    <w:r w:rsidR="004116FB">
      <w:rPr>
        <w:noProof/>
      </w:rPr>
      <mc:AlternateContent>
        <mc:Choice Requires="wps">
          <w:drawing>
            <wp:anchor distT="45720" distB="45720" distL="114300" distR="114300" simplePos="0" relativeHeight="251657728" behindDoc="0" locked="0" layoutInCell="1" allowOverlap="1" wp14:anchorId="2F50D065" wp14:editId="71E8DE7A">
              <wp:simplePos x="0" y="0"/>
              <wp:positionH relativeFrom="page">
                <wp:align>center</wp:align>
              </wp:positionH>
              <wp:positionV relativeFrom="paragraph">
                <wp:posOffset>-257175</wp:posOffset>
              </wp:positionV>
              <wp:extent cx="2600325" cy="6477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47700"/>
                      </a:xfrm>
                      <a:prstGeom prst="rect">
                        <a:avLst/>
                      </a:prstGeom>
                      <a:solidFill>
                        <a:srgbClr val="FFFFFF"/>
                      </a:solidFill>
                      <a:ln w="9525">
                        <a:noFill/>
                        <a:miter lim="800000"/>
                        <a:headEnd/>
                        <a:tailEnd/>
                      </a:ln>
                    </wps:spPr>
                    <wps:txbx>
                      <w:txbxContent>
                        <w:p w14:paraId="1F75317A" w14:textId="77777777" w:rsidR="004116FB" w:rsidRPr="00565874" w:rsidRDefault="004116FB" w:rsidP="00565874">
                          <w:pPr>
                            <w:spacing w:line="216" w:lineRule="auto"/>
                            <w:contextualSpacing/>
                            <w:jc w:val="center"/>
                            <w:rPr>
                              <w:i/>
                            </w:rPr>
                          </w:pPr>
                          <w:r w:rsidRPr="00565874">
                            <w:rPr>
                              <w:i/>
                            </w:rPr>
                            <w:t>EdinBurg Journals &amp; Books Publishers</w:t>
                          </w:r>
                        </w:p>
                        <w:p w14:paraId="6DF7D5FB" w14:textId="77777777" w:rsidR="004116FB" w:rsidRDefault="00565874" w:rsidP="00565874">
                          <w:pPr>
                            <w:spacing w:line="216" w:lineRule="auto"/>
                            <w:contextualSpacing/>
                            <w:jc w:val="center"/>
                          </w:pPr>
                          <w:r>
                            <w:t>8019</w:t>
                          </w:r>
                          <w:r w:rsidR="004116FB">
                            <w:t xml:space="preserve"> Maple Lawn</w:t>
                          </w:r>
                          <w:r>
                            <w:t>, MD, USA</w:t>
                          </w:r>
                        </w:p>
                        <w:p w14:paraId="57D8F505" w14:textId="77777777" w:rsidR="004116FB" w:rsidRDefault="004116FB" w:rsidP="00565874">
                          <w:pPr>
                            <w:spacing w:line="216" w:lineRule="auto"/>
                            <w:contextualSpacing/>
                            <w:jc w:val="center"/>
                          </w:pPr>
                          <w:r>
                            <w:t>Copyright ©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0D065" id="_x0000_s1027" type="#_x0000_t202" style="position:absolute;left:0;text-align:left;margin-left:0;margin-top:-20.25pt;width:204.75pt;height:51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" stroked="f">
              <v:textbox>
                <w:txbxContent>
                  <w:p w14:paraId="1F75317A" w14:textId="77777777" w:rsidR="004116FB" w:rsidRPr="00565874" w:rsidRDefault="004116FB" w:rsidP="00565874">
                    <w:pPr>
                      <w:spacing w:line="216" w:lineRule="auto"/>
                      <w:contextualSpacing/>
                      <w:jc w:val="center"/>
                      <w:rPr>
                        <w:i/>
                      </w:rPr>
                    </w:pPr>
                    <w:r w:rsidRPr="00565874">
                      <w:rPr>
                        <w:i/>
                      </w:rPr>
                      <w:t>EdinBurg Journals &amp; Books Publishers</w:t>
                    </w:r>
                  </w:p>
                  <w:p w14:paraId="6DF7D5FB" w14:textId="77777777" w:rsidR="004116FB" w:rsidRDefault="00565874" w:rsidP="00565874">
                    <w:pPr>
                      <w:spacing w:line="216" w:lineRule="auto"/>
                      <w:contextualSpacing/>
                      <w:jc w:val="center"/>
                    </w:pPr>
                    <w:r>
                      <w:t>8019</w:t>
                    </w:r>
                    <w:r w:rsidR="004116FB">
                      <w:t xml:space="preserve"> Maple Lawn</w:t>
                    </w:r>
                    <w:r>
                      <w:t>, MD, USA</w:t>
                    </w:r>
                  </w:p>
                  <w:p w14:paraId="57D8F505" w14:textId="77777777" w:rsidR="004116FB" w:rsidRDefault="004116FB" w:rsidP="00565874">
                    <w:pPr>
                      <w:spacing w:line="216" w:lineRule="auto"/>
                      <w:contextualSpacing/>
                      <w:jc w:val="center"/>
                    </w:pPr>
                    <w:r>
                      <w:t>Copyright © 2021</w:t>
                    </w:r>
                  </w:p>
                </w:txbxContent>
              </v:textbox>
              <w10:wrap type="square" anchorx="page"/>
            </v:shape>
          </w:pict>
        </mc:Fallback>
      </mc:AlternateContent>
    </w:r>
    <w:r w:rsidR="004116FB">
      <w:rPr>
        <w:noProof/>
      </w:rPr>
      <mc:AlternateContent>
        <mc:Choice Requires="wps">
          <w:drawing>
            <wp:anchor distT="45720" distB="45720" distL="114300" distR="114300" simplePos="0" relativeHeight="251656704" behindDoc="0" locked="0" layoutInCell="1" allowOverlap="1" wp14:anchorId="16F725C9" wp14:editId="0DABD7AC">
              <wp:simplePos x="0" y="0"/>
              <wp:positionH relativeFrom="margin">
                <wp:posOffset>-371475</wp:posOffset>
              </wp:positionH>
              <wp:positionV relativeFrom="paragraph">
                <wp:posOffset>-438150</wp:posOffset>
              </wp:positionV>
              <wp:extent cx="260032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09625"/>
                      </a:xfrm>
                      <a:prstGeom prst="rect">
                        <a:avLst/>
                      </a:prstGeom>
                      <a:solidFill>
                        <a:srgbClr val="FFFFFF"/>
                      </a:solidFill>
                      <a:ln w="9525">
                        <a:noFill/>
                        <a:miter lim="800000"/>
                        <a:headEnd/>
                        <a:tailEnd/>
                      </a:ln>
                    </wps:spPr>
                    <wps:txbx>
                      <w:txbxContent>
                        <w:p w14:paraId="65846B03" w14:textId="77777777" w:rsidR="004116FB" w:rsidRDefault="004116FB">
                          <w:r>
                            <w:rPr>
                              <w:noProof/>
                            </w:rPr>
                            <w:drawing>
                              <wp:inline distT="0" distB="0" distL="0" distR="0" wp14:anchorId="49AD2E17" wp14:editId="13CE026C">
                                <wp:extent cx="2229802" cy="752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1.png"/>
                                        <pic:cNvPicPr/>
                                      </pic:nvPicPr>
                                      <pic:blipFill>
                                        <a:blip r:embed="rId1">
                                          <a:extLst>
                                            <a:ext uri="{28A0092B-C50C-407E-A947-70E740481C1C}">
                                              <a14:useLocalDpi xmlns:a14="http://schemas.microsoft.com/office/drawing/2010/main" val="0"/>
                                            </a:ext>
                                          </a:extLst>
                                        </a:blip>
                                        <a:stretch>
                                          <a:fillRect/>
                                        </a:stretch>
                                      </pic:blipFill>
                                      <pic:spPr>
                                        <a:xfrm>
                                          <a:off x="0" y="0"/>
                                          <a:ext cx="2288029" cy="772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725C9" id="_x0000_s1028" type="#_x0000_t202" style="position:absolute;left:0;text-align:left;margin-left:-29.25pt;margin-top:-34.5pt;width:204.75pt;height:63.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" stroked="f">
              <v:textbox>
                <w:txbxContent>
                  <w:p w14:paraId="65846B03" w14:textId="77777777" w:rsidR="004116FB" w:rsidRDefault="004116FB">
                    <w:r>
                      <w:rPr>
                        <w:noProof/>
                      </w:rPr>
                      <w:drawing>
                        <wp:inline distT="0" distB="0" distL="0" distR="0" wp14:anchorId="49AD2E17" wp14:editId="13CE026C">
                          <wp:extent cx="2229802" cy="752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1.png"/>
                                  <pic:cNvPicPr/>
                                </pic:nvPicPr>
                                <pic:blipFill>
                                  <a:blip r:embed="rId1">
                                    <a:extLst>
                                      <a:ext uri="{28A0092B-C50C-407E-A947-70E740481C1C}">
                                        <a14:useLocalDpi xmlns:a14="http://schemas.microsoft.com/office/drawing/2010/main" val="0"/>
                                      </a:ext>
                                    </a:extLst>
                                  </a:blip>
                                  <a:stretch>
                                    <a:fillRect/>
                                  </a:stretch>
                                </pic:blipFill>
                                <pic:spPr>
                                  <a:xfrm>
                                    <a:off x="0" y="0"/>
                                    <a:ext cx="2288029" cy="772125"/>
                                  </a:xfrm>
                                  <a:prstGeom prst="rect">
                                    <a:avLst/>
                                  </a:prstGeom>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752C"/>
    <w:multiLevelType w:val="multilevel"/>
    <w:tmpl w:val="F32CA0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90535C5"/>
    <w:multiLevelType w:val="multilevel"/>
    <w:tmpl w:val="17C060C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C563C34"/>
    <w:multiLevelType w:val="multilevel"/>
    <w:tmpl w:val="8D94EE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E6B01B2"/>
    <w:multiLevelType w:val="hybridMultilevel"/>
    <w:tmpl w:val="692677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164E7"/>
    <w:multiLevelType w:val="multilevel"/>
    <w:tmpl w:val="73A8895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531159"/>
    <w:multiLevelType w:val="multilevel"/>
    <w:tmpl w:val="626A0F9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62350945">
    <w:abstractNumId w:val="0"/>
  </w:num>
  <w:num w:numId="2" w16cid:durableId="306710476">
    <w:abstractNumId w:val="1"/>
  </w:num>
  <w:num w:numId="3" w16cid:durableId="603459621">
    <w:abstractNumId w:val="5"/>
  </w:num>
  <w:num w:numId="4" w16cid:durableId="2127045209">
    <w:abstractNumId w:val="4"/>
  </w:num>
  <w:num w:numId="5" w16cid:durableId="701176630">
    <w:abstractNumId w:val="3"/>
  </w:num>
  <w:num w:numId="6" w16cid:durableId="3805235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NDM0NzQDImMjSyUdpeDU4uLM/DyQAiPDWgCNpdNbLQAAAA=="/>
  </w:docVars>
  <w:rsids>
    <w:rsidRoot w:val="00DC7E36"/>
    <w:rsid w:val="00013415"/>
    <w:rsid w:val="00025066"/>
    <w:rsid w:val="00037262"/>
    <w:rsid w:val="000457A5"/>
    <w:rsid w:val="00082848"/>
    <w:rsid w:val="000851F1"/>
    <w:rsid w:val="00097BFD"/>
    <w:rsid w:val="000B3C26"/>
    <w:rsid w:val="000C5450"/>
    <w:rsid w:val="000C5793"/>
    <w:rsid w:val="000E4305"/>
    <w:rsid w:val="001151EE"/>
    <w:rsid w:val="00124191"/>
    <w:rsid w:val="00177875"/>
    <w:rsid w:val="00194E58"/>
    <w:rsid w:val="00197E84"/>
    <w:rsid w:val="001A5404"/>
    <w:rsid w:val="001B5052"/>
    <w:rsid w:val="001B5AE0"/>
    <w:rsid w:val="001E0DA3"/>
    <w:rsid w:val="001E1BE5"/>
    <w:rsid w:val="002024D9"/>
    <w:rsid w:val="00204DF0"/>
    <w:rsid w:val="002159C4"/>
    <w:rsid w:val="00216BE2"/>
    <w:rsid w:val="00221D03"/>
    <w:rsid w:val="00244EEB"/>
    <w:rsid w:val="00275C81"/>
    <w:rsid w:val="002774AA"/>
    <w:rsid w:val="002779C1"/>
    <w:rsid w:val="00280AC5"/>
    <w:rsid w:val="002A5120"/>
    <w:rsid w:val="002D0FEE"/>
    <w:rsid w:val="002D216F"/>
    <w:rsid w:val="002D586A"/>
    <w:rsid w:val="002D6CFF"/>
    <w:rsid w:val="002E08BA"/>
    <w:rsid w:val="002E5435"/>
    <w:rsid w:val="00312AD1"/>
    <w:rsid w:val="003227F7"/>
    <w:rsid w:val="00322F53"/>
    <w:rsid w:val="00323591"/>
    <w:rsid w:val="003260E6"/>
    <w:rsid w:val="00343712"/>
    <w:rsid w:val="0034508E"/>
    <w:rsid w:val="003471EA"/>
    <w:rsid w:val="0035047D"/>
    <w:rsid w:val="00362B81"/>
    <w:rsid w:val="00390875"/>
    <w:rsid w:val="0039755B"/>
    <w:rsid w:val="00397BBF"/>
    <w:rsid w:val="003A598B"/>
    <w:rsid w:val="003C3A8B"/>
    <w:rsid w:val="003C65CC"/>
    <w:rsid w:val="00404E5B"/>
    <w:rsid w:val="004116FB"/>
    <w:rsid w:val="004160B6"/>
    <w:rsid w:val="00416C2A"/>
    <w:rsid w:val="00427EE7"/>
    <w:rsid w:val="00430A5B"/>
    <w:rsid w:val="00436084"/>
    <w:rsid w:val="00451D5F"/>
    <w:rsid w:val="00455BBB"/>
    <w:rsid w:val="0046047D"/>
    <w:rsid w:val="00465C92"/>
    <w:rsid w:val="00471726"/>
    <w:rsid w:val="004730B5"/>
    <w:rsid w:val="004870A7"/>
    <w:rsid w:val="004907B7"/>
    <w:rsid w:val="0049097D"/>
    <w:rsid w:val="00492A4D"/>
    <w:rsid w:val="004938D8"/>
    <w:rsid w:val="004A4A43"/>
    <w:rsid w:val="004D4D02"/>
    <w:rsid w:val="004F0D84"/>
    <w:rsid w:val="0052203C"/>
    <w:rsid w:val="00535692"/>
    <w:rsid w:val="00541208"/>
    <w:rsid w:val="00565874"/>
    <w:rsid w:val="0056659B"/>
    <w:rsid w:val="005665E1"/>
    <w:rsid w:val="00571108"/>
    <w:rsid w:val="00575CFE"/>
    <w:rsid w:val="005B3B8F"/>
    <w:rsid w:val="005D234D"/>
    <w:rsid w:val="005E150C"/>
    <w:rsid w:val="005E1B2E"/>
    <w:rsid w:val="00601679"/>
    <w:rsid w:val="00611078"/>
    <w:rsid w:val="0061520D"/>
    <w:rsid w:val="006370CF"/>
    <w:rsid w:val="00650FEE"/>
    <w:rsid w:val="00656B82"/>
    <w:rsid w:val="006650E9"/>
    <w:rsid w:val="00671576"/>
    <w:rsid w:val="00675551"/>
    <w:rsid w:val="00676A3B"/>
    <w:rsid w:val="006939D6"/>
    <w:rsid w:val="00694079"/>
    <w:rsid w:val="006B67DC"/>
    <w:rsid w:val="006B6B99"/>
    <w:rsid w:val="006F51FC"/>
    <w:rsid w:val="00705502"/>
    <w:rsid w:val="00713AE2"/>
    <w:rsid w:val="00720B42"/>
    <w:rsid w:val="007754DD"/>
    <w:rsid w:val="00782119"/>
    <w:rsid w:val="007A1E96"/>
    <w:rsid w:val="007A30D2"/>
    <w:rsid w:val="007A3D17"/>
    <w:rsid w:val="007B350A"/>
    <w:rsid w:val="007B4476"/>
    <w:rsid w:val="007B4BAE"/>
    <w:rsid w:val="007C596F"/>
    <w:rsid w:val="007C74CE"/>
    <w:rsid w:val="007D548D"/>
    <w:rsid w:val="00805719"/>
    <w:rsid w:val="0082199C"/>
    <w:rsid w:val="00823B8A"/>
    <w:rsid w:val="0084215A"/>
    <w:rsid w:val="00842AD1"/>
    <w:rsid w:val="00844998"/>
    <w:rsid w:val="0084555E"/>
    <w:rsid w:val="00845EB1"/>
    <w:rsid w:val="00846409"/>
    <w:rsid w:val="00883850"/>
    <w:rsid w:val="00884FD3"/>
    <w:rsid w:val="008F0FF1"/>
    <w:rsid w:val="008F1D70"/>
    <w:rsid w:val="00900CB7"/>
    <w:rsid w:val="00901D8D"/>
    <w:rsid w:val="00912F91"/>
    <w:rsid w:val="00926FDE"/>
    <w:rsid w:val="00946354"/>
    <w:rsid w:val="00951BDF"/>
    <w:rsid w:val="009600CE"/>
    <w:rsid w:val="00980761"/>
    <w:rsid w:val="0099604E"/>
    <w:rsid w:val="00A11C64"/>
    <w:rsid w:val="00A35369"/>
    <w:rsid w:val="00A35920"/>
    <w:rsid w:val="00A50CAD"/>
    <w:rsid w:val="00A57BA8"/>
    <w:rsid w:val="00A94D80"/>
    <w:rsid w:val="00AD6637"/>
    <w:rsid w:val="00B06A3B"/>
    <w:rsid w:val="00B45B19"/>
    <w:rsid w:val="00B613EB"/>
    <w:rsid w:val="00B759E6"/>
    <w:rsid w:val="00B77D9C"/>
    <w:rsid w:val="00B8454F"/>
    <w:rsid w:val="00B96E98"/>
    <w:rsid w:val="00BB39D5"/>
    <w:rsid w:val="00BB6C88"/>
    <w:rsid w:val="00BC6A07"/>
    <w:rsid w:val="00BD5635"/>
    <w:rsid w:val="00BE04F8"/>
    <w:rsid w:val="00BF6EE6"/>
    <w:rsid w:val="00C01BDB"/>
    <w:rsid w:val="00C15B09"/>
    <w:rsid w:val="00C16DAD"/>
    <w:rsid w:val="00C27E3A"/>
    <w:rsid w:val="00C51D3C"/>
    <w:rsid w:val="00C6408F"/>
    <w:rsid w:val="00C7150F"/>
    <w:rsid w:val="00C7290E"/>
    <w:rsid w:val="00C7663B"/>
    <w:rsid w:val="00C82D6D"/>
    <w:rsid w:val="00C92255"/>
    <w:rsid w:val="00C947DD"/>
    <w:rsid w:val="00CA0D73"/>
    <w:rsid w:val="00CA2720"/>
    <w:rsid w:val="00CB6C0C"/>
    <w:rsid w:val="00CC76C4"/>
    <w:rsid w:val="00CF4A4B"/>
    <w:rsid w:val="00D40281"/>
    <w:rsid w:val="00D44558"/>
    <w:rsid w:val="00D51975"/>
    <w:rsid w:val="00DA1E88"/>
    <w:rsid w:val="00DA678B"/>
    <w:rsid w:val="00DB40FF"/>
    <w:rsid w:val="00DC7E36"/>
    <w:rsid w:val="00DD3697"/>
    <w:rsid w:val="00DE2250"/>
    <w:rsid w:val="00DE51B0"/>
    <w:rsid w:val="00E0341D"/>
    <w:rsid w:val="00E070E7"/>
    <w:rsid w:val="00E310FE"/>
    <w:rsid w:val="00E31295"/>
    <w:rsid w:val="00E6416A"/>
    <w:rsid w:val="00E71CD0"/>
    <w:rsid w:val="00E72E2E"/>
    <w:rsid w:val="00E945FD"/>
    <w:rsid w:val="00ED4E55"/>
    <w:rsid w:val="00F036CE"/>
    <w:rsid w:val="00F04714"/>
    <w:rsid w:val="00F21A70"/>
    <w:rsid w:val="00F344DF"/>
    <w:rsid w:val="00F420A5"/>
    <w:rsid w:val="00F55A8A"/>
    <w:rsid w:val="00F55CF2"/>
    <w:rsid w:val="00F60F9F"/>
    <w:rsid w:val="00F645DE"/>
    <w:rsid w:val="00F70008"/>
    <w:rsid w:val="00FB2196"/>
    <w:rsid w:val="00FB51B5"/>
    <w:rsid w:val="00FB64D2"/>
    <w:rsid w:val="00FC6661"/>
    <w:rsid w:val="00FF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6DCD"/>
  <w15:docId w15:val="{E9171746-711B-48FE-979C-3BEDD54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C5"/>
    <w:pPr>
      <w:spacing w:before="100" w:after="10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1E1BE5"/>
    <w:pPr>
      <w:keepNext/>
      <w:keepLines/>
      <w:suppressAutoHyphens/>
      <w:spacing w:before="200"/>
      <w:jc w:val="left"/>
      <w:outlineLvl w:val="0"/>
    </w:pPr>
    <w:rPr>
      <w:rFonts w:eastAsiaTheme="majorEastAsia" w:cstheme="majorBidi"/>
      <w:b/>
      <w:bCs/>
      <w:szCs w:val="28"/>
      <w:lang w:eastAsia="ar-SA"/>
    </w:rPr>
  </w:style>
  <w:style w:type="paragraph" w:styleId="Heading2">
    <w:name w:val="heading 2"/>
    <w:basedOn w:val="Normal"/>
    <w:next w:val="Normal"/>
    <w:link w:val="Heading2Char"/>
    <w:uiPriority w:val="9"/>
    <w:qFormat/>
    <w:rsid w:val="001E1BE5"/>
    <w:pPr>
      <w:keepNext/>
      <w:keepLines/>
      <w:tabs>
        <w:tab w:val="num" w:pos="360"/>
      </w:tabs>
      <w:suppressAutoHyphens/>
      <w:outlineLvl w:val="1"/>
    </w:pPr>
    <w:rPr>
      <w:rFonts w:eastAsia="Calibri" w:cs="Times New Roman"/>
      <w:b/>
      <w:szCs w:val="24"/>
      <w:lang w:eastAsia="ar-SA"/>
    </w:rPr>
  </w:style>
  <w:style w:type="paragraph" w:styleId="Heading3">
    <w:name w:val="heading 3"/>
    <w:basedOn w:val="Normal"/>
    <w:next w:val="Normal"/>
    <w:link w:val="Heading3Char"/>
    <w:uiPriority w:val="9"/>
    <w:unhideWhenUsed/>
    <w:qFormat/>
    <w:rsid w:val="0088385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65C9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D234D"/>
    <w:pPr>
      <w:keepNext/>
      <w:keepLines/>
      <w:suppressAutoHyphens/>
      <w:spacing w:before="200"/>
      <w:outlineLvl w:val="4"/>
    </w:pPr>
    <w:rPr>
      <w:rFonts w:asciiTheme="majorHAnsi" w:eastAsiaTheme="majorEastAsia" w:hAnsiTheme="majorHAnsi" w:cstheme="majorBidi"/>
      <w:color w:val="1F4D78" w:themeColor="accent1" w:themeShade="7F"/>
      <w:lang w:eastAsia="ar-SA"/>
    </w:rPr>
  </w:style>
  <w:style w:type="paragraph" w:styleId="Heading6">
    <w:name w:val="heading 6"/>
    <w:basedOn w:val="Normal"/>
    <w:next w:val="Normal"/>
    <w:link w:val="Heading6Char"/>
    <w:uiPriority w:val="9"/>
    <w:semiHidden/>
    <w:unhideWhenUsed/>
    <w:qFormat/>
    <w:rsid w:val="005D234D"/>
    <w:pPr>
      <w:keepNext/>
      <w:keepLines/>
      <w:widowControl w:val="0"/>
      <w:autoSpaceDE w:val="0"/>
      <w:autoSpaceDN w:val="0"/>
      <w:spacing w:before="40" w:after="0"/>
      <w:jc w:val="left"/>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semiHidden/>
    <w:unhideWhenUsed/>
    <w:qFormat/>
    <w:rsid w:val="005D234D"/>
    <w:pPr>
      <w:keepNext/>
      <w:keepLines/>
      <w:widowControl w:val="0"/>
      <w:autoSpaceDE w:val="0"/>
      <w:autoSpaceDN w:val="0"/>
      <w:spacing w:before="40" w:after="0"/>
      <w:jc w:val="left"/>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semiHidden/>
    <w:unhideWhenUsed/>
    <w:qFormat/>
    <w:rsid w:val="005D234D"/>
    <w:pPr>
      <w:keepNext/>
      <w:keepLines/>
      <w:widowControl w:val="0"/>
      <w:autoSpaceDE w:val="0"/>
      <w:autoSpaceDN w:val="0"/>
      <w:spacing w:before="40" w:after="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234D"/>
    <w:pPr>
      <w:keepNext/>
      <w:keepLines/>
      <w:widowControl w:val="0"/>
      <w:autoSpaceDE w:val="0"/>
      <w:autoSpaceDN w:val="0"/>
      <w:spacing w:before="40" w:after="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0A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0A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qFormat/>
    <w:rsid w:val="004870A7"/>
    <w:pPr>
      <w:tabs>
        <w:tab w:val="center" w:pos="4680"/>
        <w:tab w:val="right" w:pos="9360"/>
      </w:tabs>
      <w:spacing w:after="0"/>
    </w:pPr>
  </w:style>
  <w:style w:type="character" w:customStyle="1" w:styleId="HeaderChar">
    <w:name w:val="Header Char"/>
    <w:basedOn w:val="DefaultParagraphFont"/>
    <w:link w:val="Header"/>
    <w:uiPriority w:val="99"/>
    <w:qFormat/>
    <w:rsid w:val="004870A7"/>
  </w:style>
  <w:style w:type="paragraph" w:styleId="Footer">
    <w:name w:val="footer"/>
    <w:basedOn w:val="Normal"/>
    <w:link w:val="FooterChar"/>
    <w:uiPriority w:val="99"/>
    <w:unhideWhenUsed/>
    <w:rsid w:val="004870A7"/>
    <w:pPr>
      <w:tabs>
        <w:tab w:val="center" w:pos="4680"/>
        <w:tab w:val="right" w:pos="9360"/>
      </w:tabs>
      <w:spacing w:after="0"/>
    </w:pPr>
  </w:style>
  <w:style w:type="character" w:customStyle="1" w:styleId="FooterChar">
    <w:name w:val="Footer Char"/>
    <w:basedOn w:val="DefaultParagraphFont"/>
    <w:link w:val="Footer"/>
    <w:uiPriority w:val="99"/>
    <w:qFormat/>
    <w:rsid w:val="004870A7"/>
  </w:style>
  <w:style w:type="character" w:styleId="Hyperlink">
    <w:name w:val="Hyperlink"/>
    <w:basedOn w:val="DefaultParagraphFont"/>
    <w:uiPriority w:val="99"/>
    <w:unhideWhenUsed/>
    <w:rsid w:val="0052203C"/>
    <w:rPr>
      <w:color w:val="0563C1" w:themeColor="hyperlink"/>
      <w:u w:val="single"/>
    </w:rPr>
  </w:style>
  <w:style w:type="paragraph" w:styleId="BalloonText">
    <w:name w:val="Balloon Text"/>
    <w:basedOn w:val="Normal"/>
    <w:link w:val="BalloonTextChar"/>
    <w:uiPriority w:val="99"/>
    <w:semiHidden/>
    <w:unhideWhenUsed/>
    <w:rsid w:val="00650F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FEE"/>
    <w:rPr>
      <w:rFonts w:ascii="Tahoma" w:hAnsi="Tahoma" w:cs="Tahoma"/>
      <w:sz w:val="16"/>
      <w:szCs w:val="16"/>
    </w:rPr>
  </w:style>
  <w:style w:type="character" w:customStyle="1" w:styleId="Heading1Char">
    <w:name w:val="Heading 1 Char"/>
    <w:basedOn w:val="DefaultParagraphFont"/>
    <w:link w:val="Heading1"/>
    <w:uiPriority w:val="9"/>
    <w:rsid w:val="001E1BE5"/>
    <w:rPr>
      <w:rFonts w:ascii="Times New Roman" w:eastAsiaTheme="majorEastAsia" w:hAnsi="Times New Roman" w:cstheme="majorBidi"/>
      <w:b/>
      <w:bCs/>
      <w:sz w:val="24"/>
      <w:szCs w:val="28"/>
      <w:lang w:eastAsia="ar-SA"/>
    </w:rPr>
  </w:style>
  <w:style w:type="character" w:customStyle="1" w:styleId="Heading2Char">
    <w:name w:val="Heading 2 Char"/>
    <w:basedOn w:val="DefaultParagraphFont"/>
    <w:link w:val="Heading2"/>
    <w:uiPriority w:val="9"/>
    <w:rsid w:val="001E1BE5"/>
    <w:rPr>
      <w:rFonts w:ascii="Times New Roman" w:eastAsia="Calibri" w:hAnsi="Times New Roman" w:cs="Times New Roman"/>
      <w:b/>
      <w:sz w:val="24"/>
      <w:szCs w:val="24"/>
      <w:lang w:eastAsia="ar-SA"/>
    </w:rPr>
  </w:style>
  <w:style w:type="character" w:customStyle="1" w:styleId="NoSpacingChar">
    <w:name w:val="No Spacing Char"/>
    <w:link w:val="NoSpacing"/>
    <w:uiPriority w:val="1"/>
    <w:locked/>
    <w:rsid w:val="001E1BE5"/>
    <w:rPr>
      <w:rFonts w:ascii="Calibri" w:eastAsia="Calibri" w:hAnsi="Calibri" w:cs="Times New Roman"/>
    </w:rPr>
  </w:style>
  <w:style w:type="paragraph" w:styleId="NoSpacing">
    <w:name w:val="No Spacing"/>
    <w:link w:val="NoSpacingChar"/>
    <w:uiPriority w:val="1"/>
    <w:qFormat/>
    <w:rsid w:val="001E1BE5"/>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883850"/>
    <w:rPr>
      <w:rFonts w:asciiTheme="majorHAnsi" w:eastAsiaTheme="majorEastAsia" w:hAnsiTheme="majorHAnsi" w:cstheme="majorBidi"/>
      <w:b/>
      <w:bCs/>
      <w:color w:val="5B9BD5" w:themeColor="accent1"/>
      <w:sz w:val="24"/>
    </w:rPr>
  </w:style>
  <w:style w:type="character" w:styleId="Emphasis">
    <w:name w:val="Emphasis"/>
    <w:uiPriority w:val="20"/>
    <w:qFormat/>
    <w:rsid w:val="00883850"/>
    <w:rPr>
      <w:i/>
      <w:iCs/>
    </w:rPr>
  </w:style>
  <w:style w:type="character" w:customStyle="1" w:styleId="Heading4Char">
    <w:name w:val="Heading 4 Char"/>
    <w:basedOn w:val="DefaultParagraphFont"/>
    <w:link w:val="Heading4"/>
    <w:uiPriority w:val="9"/>
    <w:rsid w:val="00465C92"/>
    <w:rPr>
      <w:rFonts w:asciiTheme="majorHAnsi" w:eastAsiaTheme="majorEastAsia" w:hAnsiTheme="majorHAnsi" w:cstheme="majorBidi"/>
      <w:b/>
      <w:bCs/>
      <w:i/>
      <w:iCs/>
      <w:color w:val="5B9BD5" w:themeColor="accent1"/>
      <w:sz w:val="24"/>
    </w:rPr>
  </w:style>
  <w:style w:type="paragraph" w:styleId="ListParagraph">
    <w:name w:val="List Paragraph"/>
    <w:aliases w:val="Title 2,references,List Paragraph1"/>
    <w:basedOn w:val="Normal"/>
    <w:link w:val="ListParagraphChar"/>
    <w:uiPriority w:val="1"/>
    <w:qFormat/>
    <w:rsid w:val="00FB2196"/>
    <w:pPr>
      <w:suppressAutoHyphens/>
      <w:ind w:left="720"/>
    </w:pPr>
    <w:rPr>
      <w:rFonts w:eastAsia="Calibri" w:cs="Calibri"/>
      <w:lang w:eastAsia="ar-SA"/>
    </w:rPr>
  </w:style>
  <w:style w:type="character" w:customStyle="1" w:styleId="ListParagraphChar">
    <w:name w:val="List Paragraph Char"/>
    <w:aliases w:val="Title 2 Char,references Char,List Paragraph1 Char"/>
    <w:link w:val="ListParagraph"/>
    <w:uiPriority w:val="34"/>
    <w:qFormat/>
    <w:locked/>
    <w:rsid w:val="00FB2196"/>
    <w:rPr>
      <w:rFonts w:ascii="Times New Roman" w:eastAsia="Calibri" w:hAnsi="Times New Roman" w:cs="Calibri"/>
      <w:sz w:val="24"/>
      <w:lang w:eastAsia="ar-SA"/>
    </w:rPr>
  </w:style>
  <w:style w:type="table" w:styleId="TableGrid">
    <w:name w:val="Table Grid"/>
    <w:basedOn w:val="TableNormal"/>
    <w:uiPriority w:val="39"/>
    <w:rsid w:val="0027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A3B"/>
    <w:rPr>
      <w:color w:val="605E5C"/>
      <w:shd w:val="clear" w:color="auto" w:fill="E1DFDD"/>
    </w:rPr>
  </w:style>
  <w:style w:type="paragraph" w:styleId="Bibliography">
    <w:name w:val="Bibliography"/>
    <w:basedOn w:val="Normal"/>
    <w:next w:val="Normal"/>
    <w:uiPriority w:val="37"/>
    <w:unhideWhenUsed/>
    <w:rsid w:val="00DB40FF"/>
  </w:style>
  <w:style w:type="character" w:customStyle="1" w:styleId="hlfld-abstract">
    <w:name w:val="hlfld-abstract"/>
    <w:basedOn w:val="DefaultParagraphFont"/>
    <w:rsid w:val="006650E9"/>
  </w:style>
  <w:style w:type="character" w:customStyle="1" w:styleId="Heading5Char">
    <w:name w:val="Heading 5 Char"/>
    <w:basedOn w:val="DefaultParagraphFont"/>
    <w:link w:val="Heading5"/>
    <w:uiPriority w:val="9"/>
    <w:rsid w:val="005D234D"/>
    <w:rPr>
      <w:rFonts w:asciiTheme="majorHAnsi" w:eastAsiaTheme="majorEastAsia" w:hAnsiTheme="majorHAnsi" w:cstheme="majorBidi"/>
      <w:color w:val="1F4D78" w:themeColor="accent1" w:themeShade="7F"/>
      <w:sz w:val="24"/>
      <w:lang w:eastAsia="ar-SA"/>
    </w:rPr>
  </w:style>
  <w:style w:type="character" w:customStyle="1" w:styleId="Heading6Char">
    <w:name w:val="Heading 6 Char"/>
    <w:basedOn w:val="DefaultParagraphFont"/>
    <w:link w:val="Heading6"/>
    <w:uiPriority w:val="9"/>
    <w:semiHidden/>
    <w:rsid w:val="005D234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D234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D23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234D"/>
    <w:rPr>
      <w:rFonts w:asciiTheme="majorHAnsi" w:eastAsiaTheme="majorEastAsia" w:hAnsiTheme="majorHAnsi" w:cstheme="majorBidi"/>
      <w:i/>
      <w:iCs/>
      <w:color w:val="272727" w:themeColor="text1" w:themeTint="D8"/>
      <w:sz w:val="21"/>
      <w:szCs w:val="21"/>
    </w:rPr>
  </w:style>
  <w:style w:type="paragraph" w:styleId="DocumentMap">
    <w:name w:val="Document Map"/>
    <w:basedOn w:val="Normal"/>
    <w:link w:val="DocumentMapChar"/>
    <w:uiPriority w:val="99"/>
    <w:semiHidden/>
    <w:unhideWhenUsed/>
    <w:rsid w:val="005D234D"/>
    <w:pPr>
      <w:suppressAutoHyphens/>
    </w:pPr>
    <w:rPr>
      <w:rFonts w:ascii="Tahoma" w:eastAsia="Calibri" w:hAnsi="Tahoma" w:cs="Tahoma"/>
      <w:sz w:val="16"/>
      <w:szCs w:val="16"/>
      <w:lang w:eastAsia="ar-SA"/>
    </w:rPr>
  </w:style>
  <w:style w:type="character" w:customStyle="1" w:styleId="DocumentMapChar">
    <w:name w:val="Document Map Char"/>
    <w:basedOn w:val="DefaultParagraphFont"/>
    <w:link w:val="DocumentMap"/>
    <w:uiPriority w:val="99"/>
    <w:semiHidden/>
    <w:rsid w:val="005D234D"/>
    <w:rPr>
      <w:rFonts w:ascii="Tahoma" w:eastAsia="Calibri" w:hAnsi="Tahoma" w:cs="Tahoma"/>
      <w:sz w:val="16"/>
      <w:szCs w:val="16"/>
      <w:lang w:eastAsia="ar-SA"/>
    </w:rPr>
  </w:style>
  <w:style w:type="paragraph" w:styleId="NormalWeb">
    <w:name w:val="Normal (Web)"/>
    <w:basedOn w:val="Normal"/>
    <w:uiPriority w:val="99"/>
    <w:qFormat/>
    <w:rsid w:val="005D234D"/>
    <w:pPr>
      <w:suppressAutoHyphens/>
    </w:pPr>
    <w:rPr>
      <w:rFonts w:eastAsia="Calibri" w:cs="Calibri"/>
      <w:szCs w:val="24"/>
      <w:lang w:eastAsia="ar-SA"/>
    </w:rPr>
  </w:style>
  <w:style w:type="paragraph" w:styleId="Subtitle">
    <w:name w:val="Subtitle"/>
    <w:basedOn w:val="Normal"/>
    <w:next w:val="Normal"/>
    <w:link w:val="SubtitleChar"/>
    <w:uiPriority w:val="11"/>
    <w:qFormat/>
    <w:rsid w:val="005D234D"/>
    <w:pPr>
      <w:numPr>
        <w:ilvl w:val="1"/>
      </w:numPr>
      <w:suppressAutoHyphens/>
    </w:pPr>
    <w:rPr>
      <w:rFonts w:asciiTheme="majorHAnsi" w:eastAsiaTheme="majorEastAsia" w:hAnsiTheme="majorHAnsi" w:cstheme="majorBidi"/>
      <w:i/>
      <w:iCs/>
      <w:color w:val="5B9BD5" w:themeColor="accent1"/>
      <w:spacing w:val="15"/>
      <w:szCs w:val="24"/>
      <w:lang w:eastAsia="ar-SA"/>
    </w:rPr>
  </w:style>
  <w:style w:type="character" w:customStyle="1" w:styleId="SubtitleChar">
    <w:name w:val="Subtitle Char"/>
    <w:basedOn w:val="DefaultParagraphFont"/>
    <w:link w:val="Subtitle"/>
    <w:uiPriority w:val="11"/>
    <w:rsid w:val="005D234D"/>
    <w:rPr>
      <w:rFonts w:asciiTheme="majorHAnsi" w:eastAsiaTheme="majorEastAsia" w:hAnsiTheme="majorHAnsi" w:cstheme="majorBidi"/>
      <w:i/>
      <w:iCs/>
      <w:color w:val="5B9BD5" w:themeColor="accent1"/>
      <w:spacing w:val="15"/>
      <w:sz w:val="24"/>
      <w:szCs w:val="24"/>
      <w:lang w:eastAsia="ar-SA"/>
    </w:rPr>
  </w:style>
  <w:style w:type="paragraph" w:styleId="Caption">
    <w:name w:val="caption"/>
    <w:basedOn w:val="Normal"/>
    <w:next w:val="Normal"/>
    <w:link w:val="CaptionChar"/>
    <w:uiPriority w:val="35"/>
    <w:unhideWhenUsed/>
    <w:qFormat/>
    <w:rsid w:val="005D234D"/>
    <w:pPr>
      <w:ind w:left="720"/>
    </w:pPr>
    <w:rPr>
      <w:rFonts w:ascii="Calibri" w:eastAsia="Calibri" w:hAnsi="Calibri" w:cs="Times New Roman"/>
      <w:b/>
      <w:bCs/>
      <w:sz w:val="20"/>
      <w:szCs w:val="20"/>
    </w:rPr>
  </w:style>
  <w:style w:type="character" w:customStyle="1" w:styleId="ilfuvd">
    <w:name w:val="ilfuvd"/>
    <w:basedOn w:val="DefaultParagraphFont"/>
    <w:rsid w:val="005D234D"/>
  </w:style>
  <w:style w:type="character" w:styleId="CommentReference">
    <w:name w:val="annotation reference"/>
    <w:basedOn w:val="DefaultParagraphFont"/>
    <w:uiPriority w:val="99"/>
    <w:semiHidden/>
    <w:unhideWhenUsed/>
    <w:rsid w:val="005D234D"/>
    <w:rPr>
      <w:sz w:val="16"/>
      <w:szCs w:val="16"/>
    </w:rPr>
  </w:style>
  <w:style w:type="paragraph" w:styleId="CommentText">
    <w:name w:val="annotation text"/>
    <w:basedOn w:val="Normal"/>
    <w:link w:val="CommentTextChar"/>
    <w:uiPriority w:val="99"/>
    <w:unhideWhenUsed/>
    <w:rsid w:val="005D234D"/>
    <w:pPr>
      <w:suppressAutoHyphens/>
    </w:pPr>
    <w:rPr>
      <w:rFonts w:eastAsia="Calibri" w:cs="Calibri"/>
      <w:sz w:val="20"/>
      <w:szCs w:val="20"/>
      <w:lang w:eastAsia="ar-SA"/>
    </w:rPr>
  </w:style>
  <w:style w:type="character" w:customStyle="1" w:styleId="CommentTextChar">
    <w:name w:val="Comment Text Char"/>
    <w:basedOn w:val="DefaultParagraphFont"/>
    <w:link w:val="CommentText"/>
    <w:uiPriority w:val="99"/>
    <w:rsid w:val="005D234D"/>
    <w:rPr>
      <w:rFonts w:ascii="Times New Roman" w:eastAsia="Calibri" w:hAnsi="Times New Roman" w:cs="Calibri"/>
      <w:sz w:val="20"/>
      <w:szCs w:val="20"/>
      <w:lang w:eastAsia="ar-SA"/>
    </w:rPr>
  </w:style>
  <w:style w:type="paragraph" w:styleId="CommentSubject">
    <w:name w:val="annotation subject"/>
    <w:basedOn w:val="CommentText"/>
    <w:next w:val="CommentText"/>
    <w:link w:val="CommentSubjectChar"/>
    <w:uiPriority w:val="99"/>
    <w:semiHidden/>
    <w:unhideWhenUsed/>
    <w:rsid w:val="005D234D"/>
    <w:rPr>
      <w:b/>
      <w:bCs/>
    </w:rPr>
  </w:style>
  <w:style w:type="character" w:customStyle="1" w:styleId="CommentSubjectChar">
    <w:name w:val="Comment Subject Char"/>
    <w:basedOn w:val="CommentTextChar"/>
    <w:link w:val="CommentSubject"/>
    <w:uiPriority w:val="99"/>
    <w:semiHidden/>
    <w:rsid w:val="005D234D"/>
    <w:rPr>
      <w:rFonts w:ascii="Times New Roman" w:eastAsia="Calibri" w:hAnsi="Times New Roman" w:cs="Calibri"/>
      <w:b/>
      <w:bCs/>
      <w:sz w:val="20"/>
      <w:szCs w:val="20"/>
      <w:lang w:eastAsia="ar-SA"/>
    </w:rPr>
  </w:style>
  <w:style w:type="character" w:customStyle="1" w:styleId="gi">
    <w:name w:val="gi"/>
    <w:basedOn w:val="DefaultParagraphFont"/>
    <w:rsid w:val="005D234D"/>
  </w:style>
  <w:style w:type="character" w:customStyle="1" w:styleId="go">
    <w:name w:val="go"/>
    <w:basedOn w:val="DefaultParagraphFont"/>
    <w:rsid w:val="005D234D"/>
  </w:style>
  <w:style w:type="table" w:customStyle="1" w:styleId="TableGrid2">
    <w:name w:val="Table Grid2"/>
    <w:basedOn w:val="TableNormal"/>
    <w:next w:val="TableGrid"/>
    <w:uiPriority w:val="59"/>
    <w:rsid w:val="005D23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uiPriority w:val="99"/>
    <w:rsid w:val="005D234D"/>
    <w:pPr>
      <w:spacing w:after="200" w:line="276" w:lineRule="auto"/>
      <w:ind w:left="634"/>
    </w:pPr>
    <w:rPr>
      <w:rFonts w:ascii="Calibri" w:eastAsia="Calibri" w:hAnsi="Calibri" w:cs="Calibri"/>
    </w:rPr>
  </w:style>
  <w:style w:type="character" w:customStyle="1" w:styleId="ff3">
    <w:name w:val="ff3"/>
    <w:basedOn w:val="DefaultParagraphFont"/>
    <w:uiPriority w:val="99"/>
    <w:rsid w:val="005D234D"/>
  </w:style>
  <w:style w:type="character" w:customStyle="1" w:styleId="a">
    <w:name w:val="_"/>
    <w:basedOn w:val="DefaultParagraphFont"/>
    <w:uiPriority w:val="99"/>
    <w:rsid w:val="005D234D"/>
  </w:style>
  <w:style w:type="character" w:customStyle="1" w:styleId="ff1">
    <w:name w:val="ff1"/>
    <w:basedOn w:val="DefaultParagraphFont"/>
    <w:uiPriority w:val="99"/>
    <w:rsid w:val="005D234D"/>
  </w:style>
  <w:style w:type="character" w:customStyle="1" w:styleId="ls4">
    <w:name w:val="ls4"/>
    <w:basedOn w:val="DefaultParagraphFont"/>
    <w:uiPriority w:val="99"/>
    <w:rsid w:val="005D234D"/>
  </w:style>
  <w:style w:type="character" w:customStyle="1" w:styleId="title-text">
    <w:name w:val="title-text"/>
    <w:basedOn w:val="DefaultParagraphFont"/>
    <w:uiPriority w:val="99"/>
    <w:rsid w:val="005D234D"/>
  </w:style>
  <w:style w:type="character" w:customStyle="1" w:styleId="selectable">
    <w:name w:val="selectable"/>
    <w:basedOn w:val="DefaultParagraphFont"/>
    <w:rsid w:val="005D234D"/>
  </w:style>
  <w:style w:type="character" w:customStyle="1" w:styleId="UnresolvedMention1">
    <w:name w:val="Unresolved Mention1"/>
    <w:basedOn w:val="DefaultParagraphFont"/>
    <w:uiPriority w:val="99"/>
    <w:semiHidden/>
    <w:unhideWhenUsed/>
    <w:rsid w:val="005D234D"/>
    <w:rPr>
      <w:color w:val="605E5C"/>
      <w:shd w:val="clear" w:color="auto" w:fill="E1DFDD"/>
    </w:rPr>
  </w:style>
  <w:style w:type="paragraph" w:customStyle="1" w:styleId="NoSpacing1">
    <w:name w:val="No Spacing1"/>
    <w:next w:val="NoSpacing"/>
    <w:uiPriority w:val="1"/>
    <w:rsid w:val="005D234D"/>
    <w:pPr>
      <w:spacing w:after="0" w:line="240" w:lineRule="auto"/>
      <w:jc w:val="both"/>
    </w:pPr>
    <w:rPr>
      <w:rFonts w:ascii="Times New Roman" w:eastAsia="Times New Roman" w:hAnsi="Times New Roman"/>
      <w:sz w:val="20"/>
      <w:szCs w:val="20"/>
      <w:lang w:bidi="kok-IN"/>
    </w:rPr>
  </w:style>
  <w:style w:type="character" w:customStyle="1" w:styleId="author">
    <w:name w:val="author"/>
    <w:rsid w:val="005D234D"/>
  </w:style>
  <w:style w:type="paragraph" w:styleId="Revision">
    <w:name w:val="Revision"/>
    <w:hidden/>
    <w:uiPriority w:val="99"/>
    <w:semiHidden/>
    <w:rsid w:val="005D234D"/>
    <w:pPr>
      <w:spacing w:after="0" w:line="240" w:lineRule="auto"/>
    </w:pPr>
    <w:rPr>
      <w:rFonts w:ascii="Times New Roman" w:eastAsia="Calibri" w:hAnsi="Times New Roman" w:cs="Calibri"/>
      <w:sz w:val="24"/>
      <w:lang w:eastAsia="ar-SA"/>
    </w:rPr>
  </w:style>
  <w:style w:type="character" w:customStyle="1" w:styleId="markedcontent">
    <w:name w:val="markedcontent"/>
    <w:basedOn w:val="DefaultParagraphFont"/>
    <w:rsid w:val="005D234D"/>
  </w:style>
  <w:style w:type="paragraph" w:customStyle="1" w:styleId="Bibliography1">
    <w:name w:val="Bibliography1"/>
    <w:basedOn w:val="Normal"/>
    <w:next w:val="Normal"/>
    <w:uiPriority w:val="37"/>
    <w:unhideWhenUsed/>
    <w:rsid w:val="005D234D"/>
    <w:pPr>
      <w:spacing w:before="0" w:after="0" w:line="360" w:lineRule="auto"/>
      <w:ind w:left="720" w:hanging="720"/>
    </w:pPr>
    <w:rPr>
      <w:lang w:val="en-GB"/>
    </w:rPr>
  </w:style>
  <w:style w:type="character" w:customStyle="1" w:styleId="CaptionChar">
    <w:name w:val="Caption Char"/>
    <w:link w:val="Caption"/>
    <w:uiPriority w:val="35"/>
    <w:locked/>
    <w:rsid w:val="005D234D"/>
    <w:rPr>
      <w:rFonts w:ascii="Calibri" w:eastAsia="Calibri" w:hAnsi="Calibri" w:cs="Times New Roman"/>
      <w:b/>
      <w:bCs/>
      <w:sz w:val="20"/>
      <w:szCs w:val="20"/>
    </w:rPr>
  </w:style>
  <w:style w:type="character" w:customStyle="1" w:styleId="UnresolvedMention2">
    <w:name w:val="Unresolved Mention2"/>
    <w:basedOn w:val="DefaultParagraphFont"/>
    <w:uiPriority w:val="99"/>
    <w:semiHidden/>
    <w:unhideWhenUsed/>
    <w:rsid w:val="005D234D"/>
    <w:rPr>
      <w:color w:val="605E5C"/>
      <w:shd w:val="clear" w:color="auto" w:fill="E1DFDD"/>
    </w:rPr>
  </w:style>
  <w:style w:type="character" w:customStyle="1" w:styleId="UnresolvedMention3">
    <w:name w:val="Unresolved Mention3"/>
    <w:basedOn w:val="DefaultParagraphFont"/>
    <w:uiPriority w:val="99"/>
    <w:semiHidden/>
    <w:unhideWhenUsed/>
    <w:rsid w:val="005D234D"/>
    <w:rPr>
      <w:color w:val="605E5C"/>
      <w:shd w:val="clear" w:color="auto" w:fill="E1DFDD"/>
    </w:rPr>
  </w:style>
  <w:style w:type="table" w:customStyle="1" w:styleId="TableGrid0">
    <w:name w:val="TableGrid"/>
    <w:rsid w:val="005D234D"/>
    <w:pPr>
      <w:spacing w:after="0" w:line="240" w:lineRule="auto"/>
    </w:pPr>
    <w:rPr>
      <w:rFonts w:eastAsiaTheme="minorEastAsi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D234D"/>
    <w:pPr>
      <w:suppressAutoHyphens w:val="0"/>
      <w:spacing w:before="240" w:after="0" w:line="360" w:lineRule="auto"/>
      <w:outlineLvl w:val="9"/>
    </w:pPr>
    <w:rPr>
      <w:rFonts w:asciiTheme="majorHAnsi" w:hAnsiTheme="majorHAnsi" w:cs="Times New Roman"/>
      <w:b w:val="0"/>
      <w:bCs w:val="0"/>
      <w:color w:val="2E74B5" w:themeColor="accent1" w:themeShade="BF"/>
      <w:sz w:val="32"/>
      <w:szCs w:val="24"/>
      <w:lang w:eastAsia="en-US"/>
    </w:rPr>
  </w:style>
  <w:style w:type="paragraph" w:styleId="TOC1">
    <w:name w:val="toc 1"/>
    <w:basedOn w:val="Normal"/>
    <w:next w:val="Normal"/>
    <w:autoRedefine/>
    <w:uiPriority w:val="39"/>
    <w:unhideWhenUsed/>
    <w:qFormat/>
    <w:rsid w:val="005D234D"/>
    <w:pPr>
      <w:spacing w:before="0" w:line="480" w:lineRule="auto"/>
    </w:pPr>
    <w:rPr>
      <w:b/>
    </w:rPr>
  </w:style>
  <w:style w:type="paragraph" w:styleId="TOC2">
    <w:name w:val="toc 2"/>
    <w:basedOn w:val="Normal"/>
    <w:next w:val="Normal"/>
    <w:autoRedefine/>
    <w:uiPriority w:val="39"/>
    <w:unhideWhenUsed/>
    <w:qFormat/>
    <w:rsid w:val="005D234D"/>
    <w:pPr>
      <w:spacing w:before="0" w:line="480" w:lineRule="auto"/>
      <w:ind w:left="220"/>
    </w:pPr>
  </w:style>
  <w:style w:type="paragraph" w:styleId="TOC3">
    <w:name w:val="toc 3"/>
    <w:basedOn w:val="Normal"/>
    <w:next w:val="Normal"/>
    <w:autoRedefine/>
    <w:uiPriority w:val="39"/>
    <w:unhideWhenUsed/>
    <w:qFormat/>
    <w:rsid w:val="005D234D"/>
    <w:pPr>
      <w:spacing w:before="0" w:line="480" w:lineRule="auto"/>
      <w:ind w:left="440"/>
    </w:pPr>
  </w:style>
  <w:style w:type="character" w:customStyle="1" w:styleId="e24kjd">
    <w:name w:val="e24kjd"/>
    <w:basedOn w:val="DefaultParagraphFont"/>
    <w:rsid w:val="005D234D"/>
  </w:style>
  <w:style w:type="character" w:styleId="Strong">
    <w:name w:val="Strong"/>
    <w:basedOn w:val="DefaultParagraphFont"/>
    <w:uiPriority w:val="22"/>
    <w:qFormat/>
    <w:rsid w:val="005D234D"/>
    <w:rPr>
      <w:b/>
      <w:bCs/>
    </w:rPr>
  </w:style>
  <w:style w:type="table" w:customStyle="1" w:styleId="LightShading1">
    <w:name w:val="Light Shading1"/>
    <w:basedOn w:val="TableNormal"/>
    <w:uiPriority w:val="60"/>
    <w:rsid w:val="005D23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5D234D"/>
    <w:pPr>
      <w:spacing w:before="0" w:after="0" w:line="276" w:lineRule="auto"/>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5D234D"/>
    <w:pPr>
      <w:spacing w:before="0" w:after="0" w:line="276" w:lineRule="auto"/>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5D234D"/>
    <w:pPr>
      <w:spacing w:before="0" w:after="0" w:line="276" w:lineRule="auto"/>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5D234D"/>
    <w:pPr>
      <w:spacing w:before="0" w:after="0" w:line="276" w:lineRule="auto"/>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5D234D"/>
    <w:pPr>
      <w:spacing w:before="0" w:after="0" w:line="276" w:lineRule="auto"/>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5D234D"/>
    <w:pPr>
      <w:spacing w:before="0" w:after="0" w:line="276" w:lineRule="auto"/>
      <w:ind w:left="1760"/>
      <w:jc w:val="left"/>
    </w:pPr>
    <w:rPr>
      <w:rFonts w:asciiTheme="minorHAnsi" w:hAnsiTheme="minorHAnsi" w:cstheme="minorHAnsi"/>
      <w:sz w:val="18"/>
      <w:szCs w:val="18"/>
    </w:rPr>
  </w:style>
  <w:style w:type="paragraph" w:customStyle="1" w:styleId="TableParagraph">
    <w:name w:val="Table Paragraph"/>
    <w:basedOn w:val="Normal"/>
    <w:uiPriority w:val="1"/>
    <w:rsid w:val="005D234D"/>
    <w:pPr>
      <w:widowControl w:val="0"/>
      <w:autoSpaceDE w:val="0"/>
      <w:autoSpaceDN w:val="0"/>
      <w:spacing w:before="0" w:after="0"/>
      <w:jc w:val="left"/>
    </w:pPr>
    <w:rPr>
      <w:rFonts w:ascii="Tahoma" w:eastAsia="Tahoma" w:hAnsi="Tahoma" w:cs="Tahoma"/>
      <w:sz w:val="22"/>
      <w:lang w:bidi="en-US"/>
    </w:rPr>
  </w:style>
  <w:style w:type="paragraph" w:styleId="BodyText">
    <w:name w:val="Body Text"/>
    <w:basedOn w:val="Normal"/>
    <w:link w:val="BodyTextChar"/>
    <w:uiPriority w:val="1"/>
    <w:qFormat/>
    <w:rsid w:val="005D234D"/>
    <w:pPr>
      <w:widowControl w:val="0"/>
      <w:autoSpaceDE w:val="0"/>
      <w:autoSpaceDN w:val="0"/>
      <w:spacing w:before="0" w:after="0"/>
      <w:jc w:val="left"/>
    </w:pPr>
    <w:rPr>
      <w:rFonts w:ascii="Tahoma" w:eastAsia="Tahoma" w:hAnsi="Tahoma" w:cs="Tahoma"/>
      <w:szCs w:val="24"/>
      <w:lang w:bidi="en-US"/>
    </w:rPr>
  </w:style>
  <w:style w:type="character" w:customStyle="1" w:styleId="BodyTextChar">
    <w:name w:val="Body Text Char"/>
    <w:basedOn w:val="DefaultParagraphFont"/>
    <w:link w:val="BodyText"/>
    <w:uiPriority w:val="1"/>
    <w:rsid w:val="005D234D"/>
    <w:rPr>
      <w:rFonts w:ascii="Tahoma" w:eastAsia="Tahoma" w:hAnsi="Tahoma" w:cs="Tahoma"/>
      <w:sz w:val="24"/>
      <w:szCs w:val="24"/>
      <w:lang w:bidi="en-US"/>
    </w:rPr>
  </w:style>
  <w:style w:type="character" w:styleId="PlaceholderText">
    <w:name w:val="Placeholder Text"/>
    <w:basedOn w:val="DefaultParagraphFont"/>
    <w:uiPriority w:val="99"/>
    <w:semiHidden/>
    <w:rsid w:val="005D234D"/>
    <w:rPr>
      <w:color w:val="808080"/>
    </w:rPr>
  </w:style>
  <w:style w:type="paragraph" w:styleId="TableofFigures">
    <w:name w:val="table of figures"/>
    <w:basedOn w:val="Normal"/>
    <w:next w:val="Normal"/>
    <w:autoRedefine/>
    <w:uiPriority w:val="99"/>
    <w:unhideWhenUsed/>
    <w:rsid w:val="005D234D"/>
    <w:pPr>
      <w:tabs>
        <w:tab w:val="right" w:leader="dot" w:pos="9019"/>
      </w:tabs>
      <w:spacing w:before="0" w:after="0" w:line="360" w:lineRule="auto"/>
      <w:ind w:left="475" w:hanging="475"/>
      <w:jc w:val="left"/>
    </w:pPr>
    <w:rPr>
      <w:rFonts w:cstheme="minorHAnsi"/>
      <w:bCs/>
      <w:szCs w:val="20"/>
    </w:rPr>
  </w:style>
  <w:style w:type="character" w:styleId="LineNumber">
    <w:name w:val="line number"/>
    <w:basedOn w:val="DefaultParagraphFont"/>
    <w:uiPriority w:val="99"/>
    <w:semiHidden/>
    <w:unhideWhenUsed/>
    <w:rsid w:val="005D234D"/>
  </w:style>
  <w:style w:type="table" w:customStyle="1" w:styleId="TableGrid1">
    <w:name w:val="Table Grid1"/>
    <w:basedOn w:val="TableNormal"/>
    <w:next w:val="TableGrid"/>
    <w:uiPriority w:val="39"/>
    <w:rsid w:val="005D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semiHidden/>
    <w:unhideWhenUsed/>
    <w:rsid w:val="005D234D"/>
    <w:pPr>
      <w:spacing w:before="240" w:after="240"/>
    </w:pPr>
    <w:rPr>
      <w:sz w:val="20"/>
      <w:szCs w:val="20"/>
      <w:lang w:val="en-GB"/>
    </w:rPr>
  </w:style>
  <w:style w:type="character" w:customStyle="1" w:styleId="CommentTextChar1">
    <w:name w:val="Comment Text Char1"/>
    <w:basedOn w:val="DefaultParagraphFont"/>
    <w:uiPriority w:val="99"/>
    <w:semiHidden/>
    <w:rsid w:val="005D234D"/>
    <w:rPr>
      <w:sz w:val="20"/>
      <w:szCs w:val="20"/>
    </w:rPr>
  </w:style>
  <w:style w:type="character" w:customStyle="1" w:styleId="auto-style1">
    <w:name w:val="auto-style1"/>
    <w:basedOn w:val="DefaultParagraphFont"/>
    <w:rsid w:val="005D234D"/>
  </w:style>
  <w:style w:type="paragraph" w:customStyle="1" w:styleId="Normaalirivivli1">
    <w:name w:val="Normaali_riviväli 1"/>
    <w:basedOn w:val="Normal"/>
    <w:next w:val="Normal"/>
    <w:rsid w:val="005D234D"/>
    <w:pPr>
      <w:autoSpaceDE w:val="0"/>
      <w:autoSpaceDN w:val="0"/>
      <w:adjustRightInd w:val="0"/>
      <w:spacing w:before="240" w:after="240" w:line="360" w:lineRule="auto"/>
    </w:pPr>
    <w:rPr>
      <w:rFonts w:eastAsia="Times New Roman" w:cs="Times New Roman"/>
      <w:color w:val="000000"/>
      <w:szCs w:val="24"/>
      <w:lang w:val="en-GB"/>
    </w:rPr>
  </w:style>
  <w:style w:type="table" w:customStyle="1" w:styleId="PlainTable41">
    <w:name w:val="Plain Table 41"/>
    <w:basedOn w:val="TableNormal"/>
    <w:uiPriority w:val="44"/>
    <w:rsid w:val="005D234D"/>
    <w:pPr>
      <w:spacing w:after="0" w:line="240" w:lineRule="auto"/>
    </w:pPr>
    <w:rPr>
      <w:rFonts w:ascii="Calibri" w:eastAsia="Calibri" w:hAnsi="Calibri" w:cs="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5D234D"/>
    <w:pPr>
      <w:spacing w:after="0" w:line="240" w:lineRule="auto"/>
    </w:pPr>
    <w:rPr>
      <w:rFonts w:ascii="Calibri" w:eastAsia="Calibri" w:hAnsi="Calibri" w:cs="SimSun"/>
    </w:rPr>
    <w:tblPr>
      <w:tblStyleRowBandSize w:val="1"/>
      <w:tblStyleColBandSize w:val="1"/>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Normal"/>
    <w:link w:val="ListoftablesChar"/>
    <w:qFormat/>
    <w:rsid w:val="00FB64D2"/>
    <w:pPr>
      <w:spacing w:before="0" w:after="0"/>
    </w:pPr>
    <w:rPr>
      <w:rFonts w:eastAsia="Times New Roman" w:cs="Times New Roman"/>
      <w:szCs w:val="24"/>
      <w:lang w:eastAsia="en-GB"/>
    </w:rPr>
  </w:style>
  <w:style w:type="character" w:customStyle="1" w:styleId="ListoftablesChar">
    <w:name w:val="List of tables Char"/>
    <w:basedOn w:val="DefaultParagraphFont"/>
    <w:link w:val="Listoftables"/>
    <w:rsid w:val="00FB64D2"/>
    <w:rPr>
      <w:rFonts w:ascii="Times New Roman" w:eastAsia="Times New Roman" w:hAnsi="Times New Roman" w:cs="Times New Roman"/>
      <w:sz w:val="24"/>
      <w:szCs w:val="24"/>
      <w:lang w:eastAsia="en-GB"/>
    </w:rPr>
  </w:style>
  <w:style w:type="character" w:customStyle="1" w:styleId="sw">
    <w:name w:val="sw"/>
    <w:basedOn w:val="DefaultParagraphFont"/>
    <w:rsid w:val="00F2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182">
      <w:bodyDiv w:val="1"/>
      <w:marLeft w:val="0"/>
      <w:marRight w:val="0"/>
      <w:marTop w:val="0"/>
      <w:marBottom w:val="0"/>
      <w:divBdr>
        <w:top w:val="none" w:sz="0" w:space="0" w:color="auto"/>
        <w:left w:val="none" w:sz="0" w:space="0" w:color="auto"/>
        <w:bottom w:val="none" w:sz="0" w:space="0" w:color="auto"/>
        <w:right w:val="none" w:sz="0" w:space="0" w:color="auto"/>
      </w:divBdr>
    </w:div>
    <w:div w:id="120149595">
      <w:bodyDiv w:val="1"/>
      <w:marLeft w:val="0"/>
      <w:marRight w:val="0"/>
      <w:marTop w:val="0"/>
      <w:marBottom w:val="0"/>
      <w:divBdr>
        <w:top w:val="none" w:sz="0" w:space="0" w:color="auto"/>
        <w:left w:val="none" w:sz="0" w:space="0" w:color="auto"/>
        <w:bottom w:val="none" w:sz="0" w:space="0" w:color="auto"/>
        <w:right w:val="none" w:sz="0" w:space="0" w:color="auto"/>
      </w:divBdr>
    </w:div>
    <w:div w:id="321008714">
      <w:bodyDiv w:val="1"/>
      <w:marLeft w:val="0"/>
      <w:marRight w:val="0"/>
      <w:marTop w:val="0"/>
      <w:marBottom w:val="0"/>
      <w:divBdr>
        <w:top w:val="none" w:sz="0" w:space="0" w:color="auto"/>
        <w:left w:val="none" w:sz="0" w:space="0" w:color="auto"/>
        <w:bottom w:val="none" w:sz="0" w:space="0" w:color="auto"/>
        <w:right w:val="none" w:sz="0" w:space="0" w:color="auto"/>
      </w:divBdr>
    </w:div>
    <w:div w:id="540284662">
      <w:bodyDiv w:val="1"/>
      <w:marLeft w:val="0"/>
      <w:marRight w:val="0"/>
      <w:marTop w:val="0"/>
      <w:marBottom w:val="0"/>
      <w:divBdr>
        <w:top w:val="none" w:sz="0" w:space="0" w:color="auto"/>
        <w:left w:val="none" w:sz="0" w:space="0" w:color="auto"/>
        <w:bottom w:val="none" w:sz="0" w:space="0" w:color="auto"/>
        <w:right w:val="none" w:sz="0" w:space="0" w:color="auto"/>
      </w:divBdr>
    </w:div>
    <w:div w:id="955796176">
      <w:bodyDiv w:val="1"/>
      <w:marLeft w:val="0"/>
      <w:marRight w:val="0"/>
      <w:marTop w:val="0"/>
      <w:marBottom w:val="0"/>
      <w:divBdr>
        <w:top w:val="none" w:sz="0" w:space="0" w:color="auto"/>
        <w:left w:val="none" w:sz="0" w:space="0" w:color="auto"/>
        <w:bottom w:val="none" w:sz="0" w:space="0" w:color="auto"/>
        <w:right w:val="none" w:sz="0" w:space="0" w:color="auto"/>
      </w:divBdr>
    </w:div>
    <w:div w:id="1391005317">
      <w:bodyDiv w:val="1"/>
      <w:marLeft w:val="0"/>
      <w:marRight w:val="0"/>
      <w:marTop w:val="0"/>
      <w:marBottom w:val="0"/>
      <w:divBdr>
        <w:top w:val="none" w:sz="0" w:space="0" w:color="auto"/>
        <w:left w:val="none" w:sz="0" w:space="0" w:color="auto"/>
        <w:bottom w:val="none" w:sz="0" w:space="0" w:color="auto"/>
        <w:right w:val="none" w:sz="0" w:space="0" w:color="auto"/>
      </w:divBdr>
    </w:div>
    <w:div w:id="1394278889">
      <w:bodyDiv w:val="1"/>
      <w:marLeft w:val="0"/>
      <w:marRight w:val="0"/>
      <w:marTop w:val="0"/>
      <w:marBottom w:val="0"/>
      <w:divBdr>
        <w:top w:val="none" w:sz="0" w:space="0" w:color="auto"/>
        <w:left w:val="none" w:sz="0" w:space="0" w:color="auto"/>
        <w:bottom w:val="none" w:sz="0" w:space="0" w:color="auto"/>
        <w:right w:val="none" w:sz="0" w:space="0" w:color="auto"/>
      </w:divBdr>
    </w:div>
    <w:div w:id="15635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ercie87.njagi@gmail.com%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UNCTAD%20training\mercy%20njagi\Data%20RER%20monthl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NCTAD%20training\mercy%20njagi\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Sheet1!$D$2</c:f>
              <c:strCache>
                <c:ptCount val="1"/>
                <c:pt idx="0">
                  <c:v>UER</c:v>
                </c:pt>
              </c:strCache>
            </c:strRef>
          </c:tx>
          <c:spPr>
            <a:ln w="28575" cap="rnd">
              <a:solidFill>
                <a:schemeClr val="accent2"/>
              </a:solidFill>
              <a:round/>
            </a:ln>
            <a:effectLst/>
          </c:spPr>
          <c:marker>
            <c:symbol val="none"/>
          </c:marker>
          <c:cat>
            <c:numRef>
              <c:f>Sheet1!$B$3:$B$266</c:f>
              <c:numCache>
                <c:formatCode>mmm\-yy</c:formatCode>
                <c:ptCount val="264"/>
                <c:pt idx="0">
                  <c:v>44531</c:v>
                </c:pt>
                <c:pt idx="1">
                  <c:v>44501</c:v>
                </c:pt>
                <c:pt idx="2">
                  <c:v>44470</c:v>
                </c:pt>
                <c:pt idx="3">
                  <c:v>44440</c:v>
                </c:pt>
                <c:pt idx="4">
                  <c:v>44409</c:v>
                </c:pt>
                <c:pt idx="5">
                  <c:v>44378</c:v>
                </c:pt>
                <c:pt idx="6">
                  <c:v>44348</c:v>
                </c:pt>
                <c:pt idx="7">
                  <c:v>44317</c:v>
                </c:pt>
                <c:pt idx="8">
                  <c:v>44287</c:v>
                </c:pt>
                <c:pt idx="9">
                  <c:v>44256</c:v>
                </c:pt>
                <c:pt idx="10">
                  <c:v>44228</c:v>
                </c:pt>
                <c:pt idx="11">
                  <c:v>44197</c:v>
                </c:pt>
                <c:pt idx="12">
                  <c:v>44166</c:v>
                </c:pt>
                <c:pt idx="13">
                  <c:v>44136</c:v>
                </c:pt>
                <c:pt idx="14">
                  <c:v>44105</c:v>
                </c:pt>
                <c:pt idx="15">
                  <c:v>44075</c:v>
                </c:pt>
                <c:pt idx="16">
                  <c:v>44044</c:v>
                </c:pt>
                <c:pt idx="17">
                  <c:v>44013</c:v>
                </c:pt>
                <c:pt idx="18">
                  <c:v>43983</c:v>
                </c:pt>
                <c:pt idx="19">
                  <c:v>43952</c:v>
                </c:pt>
                <c:pt idx="20">
                  <c:v>43922</c:v>
                </c:pt>
                <c:pt idx="21">
                  <c:v>43891</c:v>
                </c:pt>
                <c:pt idx="22">
                  <c:v>43862</c:v>
                </c:pt>
                <c:pt idx="23">
                  <c:v>43831</c:v>
                </c:pt>
                <c:pt idx="24">
                  <c:v>43800</c:v>
                </c:pt>
                <c:pt idx="25">
                  <c:v>43770</c:v>
                </c:pt>
                <c:pt idx="26">
                  <c:v>43739</c:v>
                </c:pt>
                <c:pt idx="27">
                  <c:v>43709</c:v>
                </c:pt>
                <c:pt idx="28">
                  <c:v>43678</c:v>
                </c:pt>
                <c:pt idx="29">
                  <c:v>43647</c:v>
                </c:pt>
                <c:pt idx="30">
                  <c:v>43617</c:v>
                </c:pt>
                <c:pt idx="31">
                  <c:v>43586</c:v>
                </c:pt>
                <c:pt idx="32">
                  <c:v>43556</c:v>
                </c:pt>
                <c:pt idx="33">
                  <c:v>43525</c:v>
                </c:pt>
                <c:pt idx="34">
                  <c:v>43497</c:v>
                </c:pt>
                <c:pt idx="35">
                  <c:v>43466</c:v>
                </c:pt>
                <c:pt idx="36">
                  <c:v>43435</c:v>
                </c:pt>
                <c:pt idx="37">
                  <c:v>43405</c:v>
                </c:pt>
                <c:pt idx="38">
                  <c:v>43374</c:v>
                </c:pt>
                <c:pt idx="39">
                  <c:v>43344</c:v>
                </c:pt>
                <c:pt idx="40">
                  <c:v>43313</c:v>
                </c:pt>
                <c:pt idx="41">
                  <c:v>43282</c:v>
                </c:pt>
                <c:pt idx="42">
                  <c:v>43252</c:v>
                </c:pt>
                <c:pt idx="43">
                  <c:v>43221</c:v>
                </c:pt>
                <c:pt idx="44">
                  <c:v>43191</c:v>
                </c:pt>
                <c:pt idx="45">
                  <c:v>43160</c:v>
                </c:pt>
                <c:pt idx="46">
                  <c:v>43132</c:v>
                </c:pt>
                <c:pt idx="47">
                  <c:v>43101</c:v>
                </c:pt>
                <c:pt idx="48">
                  <c:v>43070</c:v>
                </c:pt>
                <c:pt idx="49">
                  <c:v>43040</c:v>
                </c:pt>
                <c:pt idx="50">
                  <c:v>43009</c:v>
                </c:pt>
                <c:pt idx="51">
                  <c:v>42979</c:v>
                </c:pt>
                <c:pt idx="52">
                  <c:v>42948</c:v>
                </c:pt>
                <c:pt idx="53">
                  <c:v>42917</c:v>
                </c:pt>
                <c:pt idx="54">
                  <c:v>42887</c:v>
                </c:pt>
                <c:pt idx="55">
                  <c:v>42856</c:v>
                </c:pt>
                <c:pt idx="56">
                  <c:v>42826</c:v>
                </c:pt>
                <c:pt idx="57">
                  <c:v>42795</c:v>
                </c:pt>
                <c:pt idx="58">
                  <c:v>42767</c:v>
                </c:pt>
                <c:pt idx="59">
                  <c:v>42736</c:v>
                </c:pt>
                <c:pt idx="60">
                  <c:v>42705</c:v>
                </c:pt>
                <c:pt idx="61">
                  <c:v>42675</c:v>
                </c:pt>
                <c:pt idx="62">
                  <c:v>42644</c:v>
                </c:pt>
                <c:pt idx="63">
                  <c:v>42614</c:v>
                </c:pt>
                <c:pt idx="64">
                  <c:v>42583</c:v>
                </c:pt>
                <c:pt idx="65">
                  <c:v>42552</c:v>
                </c:pt>
                <c:pt idx="66">
                  <c:v>42522</c:v>
                </c:pt>
                <c:pt idx="67">
                  <c:v>42491</c:v>
                </c:pt>
                <c:pt idx="68">
                  <c:v>42461</c:v>
                </c:pt>
                <c:pt idx="69">
                  <c:v>42430</c:v>
                </c:pt>
                <c:pt idx="70">
                  <c:v>42401</c:v>
                </c:pt>
                <c:pt idx="71">
                  <c:v>42370</c:v>
                </c:pt>
                <c:pt idx="72">
                  <c:v>42339</c:v>
                </c:pt>
                <c:pt idx="73">
                  <c:v>42309</c:v>
                </c:pt>
                <c:pt idx="74">
                  <c:v>42278</c:v>
                </c:pt>
                <c:pt idx="75">
                  <c:v>42248</c:v>
                </c:pt>
                <c:pt idx="76">
                  <c:v>42217</c:v>
                </c:pt>
                <c:pt idx="77">
                  <c:v>42186</c:v>
                </c:pt>
                <c:pt idx="78">
                  <c:v>42156</c:v>
                </c:pt>
                <c:pt idx="79">
                  <c:v>42125</c:v>
                </c:pt>
                <c:pt idx="80">
                  <c:v>42095</c:v>
                </c:pt>
                <c:pt idx="81">
                  <c:v>42064</c:v>
                </c:pt>
                <c:pt idx="82">
                  <c:v>42036</c:v>
                </c:pt>
                <c:pt idx="83">
                  <c:v>42005</c:v>
                </c:pt>
                <c:pt idx="84">
                  <c:v>41974</c:v>
                </c:pt>
                <c:pt idx="85">
                  <c:v>41944</c:v>
                </c:pt>
                <c:pt idx="86">
                  <c:v>41913</c:v>
                </c:pt>
                <c:pt idx="87">
                  <c:v>41883</c:v>
                </c:pt>
                <c:pt idx="88">
                  <c:v>41852</c:v>
                </c:pt>
                <c:pt idx="89">
                  <c:v>41821</c:v>
                </c:pt>
                <c:pt idx="90">
                  <c:v>41791</c:v>
                </c:pt>
                <c:pt idx="91">
                  <c:v>41760</c:v>
                </c:pt>
                <c:pt idx="92">
                  <c:v>41730</c:v>
                </c:pt>
                <c:pt idx="93">
                  <c:v>41699</c:v>
                </c:pt>
                <c:pt idx="94">
                  <c:v>41671</c:v>
                </c:pt>
                <c:pt idx="95">
                  <c:v>41640</c:v>
                </c:pt>
                <c:pt idx="96">
                  <c:v>41609</c:v>
                </c:pt>
                <c:pt idx="97">
                  <c:v>41579</c:v>
                </c:pt>
                <c:pt idx="98">
                  <c:v>41548</c:v>
                </c:pt>
                <c:pt idx="99">
                  <c:v>41518</c:v>
                </c:pt>
                <c:pt idx="100">
                  <c:v>41487</c:v>
                </c:pt>
                <c:pt idx="101">
                  <c:v>41456</c:v>
                </c:pt>
                <c:pt idx="102">
                  <c:v>41426</c:v>
                </c:pt>
                <c:pt idx="103">
                  <c:v>41395</c:v>
                </c:pt>
                <c:pt idx="104">
                  <c:v>41365</c:v>
                </c:pt>
                <c:pt idx="105">
                  <c:v>41334</c:v>
                </c:pt>
                <c:pt idx="106">
                  <c:v>41306</c:v>
                </c:pt>
                <c:pt idx="107">
                  <c:v>41275</c:v>
                </c:pt>
                <c:pt idx="108">
                  <c:v>41244</c:v>
                </c:pt>
                <c:pt idx="109">
                  <c:v>41214</c:v>
                </c:pt>
                <c:pt idx="110">
                  <c:v>41183</c:v>
                </c:pt>
                <c:pt idx="111">
                  <c:v>41153</c:v>
                </c:pt>
                <c:pt idx="112">
                  <c:v>41122</c:v>
                </c:pt>
                <c:pt idx="113">
                  <c:v>41091</c:v>
                </c:pt>
                <c:pt idx="114">
                  <c:v>41061</c:v>
                </c:pt>
                <c:pt idx="115">
                  <c:v>41030</c:v>
                </c:pt>
                <c:pt idx="116">
                  <c:v>41000</c:v>
                </c:pt>
                <c:pt idx="117">
                  <c:v>40969</c:v>
                </c:pt>
                <c:pt idx="118">
                  <c:v>40940</c:v>
                </c:pt>
                <c:pt idx="119">
                  <c:v>40909</c:v>
                </c:pt>
                <c:pt idx="120">
                  <c:v>40878</c:v>
                </c:pt>
                <c:pt idx="121">
                  <c:v>40848</c:v>
                </c:pt>
                <c:pt idx="122">
                  <c:v>40817</c:v>
                </c:pt>
                <c:pt idx="123">
                  <c:v>40787</c:v>
                </c:pt>
                <c:pt idx="124">
                  <c:v>40756</c:v>
                </c:pt>
                <c:pt idx="125">
                  <c:v>40725</c:v>
                </c:pt>
                <c:pt idx="126">
                  <c:v>40695</c:v>
                </c:pt>
                <c:pt idx="127">
                  <c:v>40664</c:v>
                </c:pt>
                <c:pt idx="128">
                  <c:v>40634</c:v>
                </c:pt>
                <c:pt idx="129">
                  <c:v>40603</c:v>
                </c:pt>
                <c:pt idx="130">
                  <c:v>40575</c:v>
                </c:pt>
                <c:pt idx="131">
                  <c:v>40544</c:v>
                </c:pt>
                <c:pt idx="132">
                  <c:v>40513</c:v>
                </c:pt>
                <c:pt idx="133">
                  <c:v>40483</c:v>
                </c:pt>
                <c:pt idx="134">
                  <c:v>40452</c:v>
                </c:pt>
                <c:pt idx="135">
                  <c:v>40422</c:v>
                </c:pt>
                <c:pt idx="136">
                  <c:v>40391</c:v>
                </c:pt>
                <c:pt idx="137">
                  <c:v>40360</c:v>
                </c:pt>
                <c:pt idx="138">
                  <c:v>40330</c:v>
                </c:pt>
                <c:pt idx="139">
                  <c:v>40299</c:v>
                </c:pt>
                <c:pt idx="140">
                  <c:v>40269</c:v>
                </c:pt>
                <c:pt idx="141">
                  <c:v>40238</c:v>
                </c:pt>
                <c:pt idx="142">
                  <c:v>40210</c:v>
                </c:pt>
                <c:pt idx="143">
                  <c:v>40179</c:v>
                </c:pt>
                <c:pt idx="144">
                  <c:v>40148</c:v>
                </c:pt>
                <c:pt idx="145">
                  <c:v>40118</c:v>
                </c:pt>
                <c:pt idx="146">
                  <c:v>40087</c:v>
                </c:pt>
                <c:pt idx="147">
                  <c:v>40057</c:v>
                </c:pt>
                <c:pt idx="148">
                  <c:v>40026</c:v>
                </c:pt>
                <c:pt idx="149">
                  <c:v>39995</c:v>
                </c:pt>
                <c:pt idx="150">
                  <c:v>39965</c:v>
                </c:pt>
                <c:pt idx="151">
                  <c:v>39934</c:v>
                </c:pt>
                <c:pt idx="152">
                  <c:v>39904</c:v>
                </c:pt>
                <c:pt idx="153">
                  <c:v>39873</c:v>
                </c:pt>
                <c:pt idx="154">
                  <c:v>39845</c:v>
                </c:pt>
                <c:pt idx="155">
                  <c:v>39814</c:v>
                </c:pt>
                <c:pt idx="156">
                  <c:v>39783</c:v>
                </c:pt>
                <c:pt idx="157">
                  <c:v>39753</c:v>
                </c:pt>
                <c:pt idx="158">
                  <c:v>39722</c:v>
                </c:pt>
                <c:pt idx="159">
                  <c:v>39692</c:v>
                </c:pt>
                <c:pt idx="160">
                  <c:v>39661</c:v>
                </c:pt>
                <c:pt idx="161">
                  <c:v>39630</c:v>
                </c:pt>
                <c:pt idx="162">
                  <c:v>39600</c:v>
                </c:pt>
                <c:pt idx="163">
                  <c:v>39569</c:v>
                </c:pt>
                <c:pt idx="164">
                  <c:v>39539</c:v>
                </c:pt>
                <c:pt idx="165">
                  <c:v>39508</c:v>
                </c:pt>
                <c:pt idx="166">
                  <c:v>39479</c:v>
                </c:pt>
                <c:pt idx="167">
                  <c:v>39448</c:v>
                </c:pt>
                <c:pt idx="168">
                  <c:v>39417</c:v>
                </c:pt>
                <c:pt idx="169">
                  <c:v>39387</c:v>
                </c:pt>
                <c:pt idx="170">
                  <c:v>39356</c:v>
                </c:pt>
                <c:pt idx="171">
                  <c:v>39326</c:v>
                </c:pt>
                <c:pt idx="172">
                  <c:v>39295</c:v>
                </c:pt>
                <c:pt idx="173">
                  <c:v>39264</c:v>
                </c:pt>
                <c:pt idx="174">
                  <c:v>39234</c:v>
                </c:pt>
                <c:pt idx="175">
                  <c:v>39203</c:v>
                </c:pt>
                <c:pt idx="176">
                  <c:v>39173</c:v>
                </c:pt>
                <c:pt idx="177">
                  <c:v>39142</c:v>
                </c:pt>
                <c:pt idx="178">
                  <c:v>39114</c:v>
                </c:pt>
                <c:pt idx="179">
                  <c:v>39083</c:v>
                </c:pt>
                <c:pt idx="180">
                  <c:v>39052</c:v>
                </c:pt>
                <c:pt idx="181">
                  <c:v>39022</c:v>
                </c:pt>
                <c:pt idx="182">
                  <c:v>38991</c:v>
                </c:pt>
                <c:pt idx="183">
                  <c:v>38961</c:v>
                </c:pt>
                <c:pt idx="184">
                  <c:v>38930</c:v>
                </c:pt>
                <c:pt idx="185">
                  <c:v>38899</c:v>
                </c:pt>
                <c:pt idx="186">
                  <c:v>38869</c:v>
                </c:pt>
                <c:pt idx="187">
                  <c:v>38838</c:v>
                </c:pt>
                <c:pt idx="188">
                  <c:v>38808</c:v>
                </c:pt>
                <c:pt idx="189">
                  <c:v>38777</c:v>
                </c:pt>
                <c:pt idx="190">
                  <c:v>38749</c:v>
                </c:pt>
                <c:pt idx="191">
                  <c:v>38718</c:v>
                </c:pt>
                <c:pt idx="192">
                  <c:v>38687</c:v>
                </c:pt>
                <c:pt idx="193">
                  <c:v>38657</c:v>
                </c:pt>
                <c:pt idx="194">
                  <c:v>38626</c:v>
                </c:pt>
                <c:pt idx="195">
                  <c:v>38596</c:v>
                </c:pt>
                <c:pt idx="196">
                  <c:v>38565</c:v>
                </c:pt>
                <c:pt idx="197">
                  <c:v>38534</c:v>
                </c:pt>
                <c:pt idx="198">
                  <c:v>38504</c:v>
                </c:pt>
                <c:pt idx="199">
                  <c:v>38473</c:v>
                </c:pt>
                <c:pt idx="200">
                  <c:v>38443</c:v>
                </c:pt>
                <c:pt idx="201">
                  <c:v>38412</c:v>
                </c:pt>
                <c:pt idx="202">
                  <c:v>38384</c:v>
                </c:pt>
                <c:pt idx="203">
                  <c:v>38353</c:v>
                </c:pt>
                <c:pt idx="204">
                  <c:v>38322</c:v>
                </c:pt>
                <c:pt idx="205">
                  <c:v>38292</c:v>
                </c:pt>
                <c:pt idx="206">
                  <c:v>38261</c:v>
                </c:pt>
                <c:pt idx="207">
                  <c:v>38231</c:v>
                </c:pt>
                <c:pt idx="208">
                  <c:v>38200</c:v>
                </c:pt>
                <c:pt idx="209">
                  <c:v>38169</c:v>
                </c:pt>
                <c:pt idx="210">
                  <c:v>38139</c:v>
                </c:pt>
                <c:pt idx="211">
                  <c:v>38108</c:v>
                </c:pt>
                <c:pt idx="212">
                  <c:v>38078</c:v>
                </c:pt>
                <c:pt idx="213">
                  <c:v>38047</c:v>
                </c:pt>
                <c:pt idx="214">
                  <c:v>38018</c:v>
                </c:pt>
                <c:pt idx="215">
                  <c:v>37987</c:v>
                </c:pt>
                <c:pt idx="216">
                  <c:v>37956</c:v>
                </c:pt>
                <c:pt idx="217">
                  <c:v>37926</c:v>
                </c:pt>
                <c:pt idx="218">
                  <c:v>37895</c:v>
                </c:pt>
                <c:pt idx="219">
                  <c:v>37865</c:v>
                </c:pt>
                <c:pt idx="220">
                  <c:v>37834</c:v>
                </c:pt>
                <c:pt idx="221">
                  <c:v>37803</c:v>
                </c:pt>
                <c:pt idx="222">
                  <c:v>37773</c:v>
                </c:pt>
                <c:pt idx="223">
                  <c:v>37742</c:v>
                </c:pt>
                <c:pt idx="224">
                  <c:v>37712</c:v>
                </c:pt>
                <c:pt idx="225">
                  <c:v>37681</c:v>
                </c:pt>
                <c:pt idx="226">
                  <c:v>37653</c:v>
                </c:pt>
                <c:pt idx="227">
                  <c:v>37622</c:v>
                </c:pt>
                <c:pt idx="228">
                  <c:v>37591</c:v>
                </c:pt>
                <c:pt idx="229">
                  <c:v>37561</c:v>
                </c:pt>
                <c:pt idx="230">
                  <c:v>37530</c:v>
                </c:pt>
                <c:pt idx="231">
                  <c:v>37500</c:v>
                </c:pt>
                <c:pt idx="232">
                  <c:v>37469</c:v>
                </c:pt>
                <c:pt idx="233">
                  <c:v>37438</c:v>
                </c:pt>
                <c:pt idx="234">
                  <c:v>37408</c:v>
                </c:pt>
                <c:pt idx="235">
                  <c:v>37377</c:v>
                </c:pt>
                <c:pt idx="236">
                  <c:v>37347</c:v>
                </c:pt>
                <c:pt idx="237">
                  <c:v>37316</c:v>
                </c:pt>
                <c:pt idx="238">
                  <c:v>37288</c:v>
                </c:pt>
                <c:pt idx="239">
                  <c:v>37257</c:v>
                </c:pt>
                <c:pt idx="240">
                  <c:v>37226</c:v>
                </c:pt>
                <c:pt idx="241">
                  <c:v>37196</c:v>
                </c:pt>
                <c:pt idx="242">
                  <c:v>37165</c:v>
                </c:pt>
                <c:pt idx="243">
                  <c:v>37135</c:v>
                </c:pt>
                <c:pt idx="244">
                  <c:v>37104</c:v>
                </c:pt>
                <c:pt idx="245">
                  <c:v>37073</c:v>
                </c:pt>
                <c:pt idx="246">
                  <c:v>37043</c:v>
                </c:pt>
                <c:pt idx="247">
                  <c:v>37012</c:v>
                </c:pt>
                <c:pt idx="248">
                  <c:v>36982</c:v>
                </c:pt>
                <c:pt idx="249">
                  <c:v>36951</c:v>
                </c:pt>
                <c:pt idx="250">
                  <c:v>36923</c:v>
                </c:pt>
                <c:pt idx="251">
                  <c:v>36892</c:v>
                </c:pt>
                <c:pt idx="252">
                  <c:v>36861</c:v>
                </c:pt>
                <c:pt idx="253">
                  <c:v>36831</c:v>
                </c:pt>
                <c:pt idx="254">
                  <c:v>36800</c:v>
                </c:pt>
                <c:pt idx="255">
                  <c:v>36770</c:v>
                </c:pt>
                <c:pt idx="256">
                  <c:v>36739</c:v>
                </c:pt>
                <c:pt idx="257">
                  <c:v>36708</c:v>
                </c:pt>
                <c:pt idx="258">
                  <c:v>36678</c:v>
                </c:pt>
                <c:pt idx="259">
                  <c:v>36647</c:v>
                </c:pt>
                <c:pt idx="260">
                  <c:v>36617</c:v>
                </c:pt>
                <c:pt idx="261">
                  <c:v>36586</c:v>
                </c:pt>
                <c:pt idx="262">
                  <c:v>36557</c:v>
                </c:pt>
                <c:pt idx="263">
                  <c:v>36526</c:v>
                </c:pt>
              </c:numCache>
            </c:numRef>
          </c:cat>
          <c:val>
            <c:numRef>
              <c:f>Sheet1!$D$3:$D$266</c:f>
              <c:numCache>
                <c:formatCode>General</c:formatCode>
                <c:ptCount val="264"/>
                <c:pt idx="0">
                  <c:v>3555.8591120000001</c:v>
                </c:pt>
                <c:pt idx="1">
                  <c:v>3553.041823</c:v>
                </c:pt>
                <c:pt idx="2">
                  <c:v>3580.4877719999999</c:v>
                </c:pt>
                <c:pt idx="3">
                  <c:v>3531.1504770000001</c:v>
                </c:pt>
                <c:pt idx="4">
                  <c:v>3536.3679710000001</c:v>
                </c:pt>
                <c:pt idx="5">
                  <c:v>3554.0675809999998</c:v>
                </c:pt>
                <c:pt idx="6">
                  <c:v>3543.0677540000001</c:v>
                </c:pt>
                <c:pt idx="7">
                  <c:v>3552.5584640000002</c:v>
                </c:pt>
                <c:pt idx="8">
                  <c:v>3620.0341279999998</c:v>
                </c:pt>
                <c:pt idx="9">
                  <c:v>3661.7141019999999</c:v>
                </c:pt>
                <c:pt idx="10">
                  <c:v>3665.844478</c:v>
                </c:pt>
                <c:pt idx="11">
                  <c:v>3690.3007520000001</c:v>
                </c:pt>
                <c:pt idx="12">
                  <c:v>3668.8754060000001</c:v>
                </c:pt>
                <c:pt idx="13">
                  <c:v>3708.5080039999998</c:v>
                </c:pt>
                <c:pt idx="14">
                  <c:v>3718.249683</c:v>
                </c:pt>
                <c:pt idx="15">
                  <c:v>3695.6764079999998</c:v>
                </c:pt>
                <c:pt idx="16">
                  <c:v>3677.572142</c:v>
                </c:pt>
                <c:pt idx="17">
                  <c:v>3705.2531290000002</c:v>
                </c:pt>
                <c:pt idx="18">
                  <c:v>3739.3413770000002</c:v>
                </c:pt>
                <c:pt idx="19">
                  <c:v>3791.974565</c:v>
                </c:pt>
                <c:pt idx="20">
                  <c:v>3786.7124450000001</c:v>
                </c:pt>
                <c:pt idx="21">
                  <c:v>3766.655205</c:v>
                </c:pt>
                <c:pt idx="22">
                  <c:v>3676.641247</c:v>
                </c:pt>
                <c:pt idx="23">
                  <c:v>3680.1949989999998</c:v>
                </c:pt>
                <c:pt idx="24">
                  <c:v>3676.1824360000001</c:v>
                </c:pt>
                <c:pt idx="25">
                  <c:v>3696.5895850000002</c:v>
                </c:pt>
                <c:pt idx="26">
                  <c:v>3697.0553420000001</c:v>
                </c:pt>
                <c:pt idx="27">
                  <c:v>3677.7137149999999</c:v>
                </c:pt>
                <c:pt idx="28">
                  <c:v>3691.7253019999998</c:v>
                </c:pt>
                <c:pt idx="29">
                  <c:v>3696.3242110000001</c:v>
                </c:pt>
                <c:pt idx="30">
                  <c:v>3731.726791</c:v>
                </c:pt>
                <c:pt idx="31">
                  <c:v>3766.4269720000002</c:v>
                </c:pt>
                <c:pt idx="32">
                  <c:v>3736.9808950000001</c:v>
                </c:pt>
                <c:pt idx="33">
                  <c:v>3706.120676</c:v>
                </c:pt>
                <c:pt idx="34">
                  <c:v>3672.975813</c:v>
                </c:pt>
                <c:pt idx="35">
                  <c:v>3703.0925470000002</c:v>
                </c:pt>
                <c:pt idx="36">
                  <c:v>3714.6555469999998</c:v>
                </c:pt>
                <c:pt idx="37">
                  <c:v>3740.3098460000001</c:v>
                </c:pt>
                <c:pt idx="38">
                  <c:v>3778.3913400000001</c:v>
                </c:pt>
                <c:pt idx="39">
                  <c:v>3805.3529789999998</c:v>
                </c:pt>
                <c:pt idx="40">
                  <c:v>3731.6949100000002</c:v>
                </c:pt>
                <c:pt idx="41">
                  <c:v>3760.2712689999998</c:v>
                </c:pt>
                <c:pt idx="42">
                  <c:v>3841.0851710000002</c:v>
                </c:pt>
                <c:pt idx="43">
                  <c:v>3724.4050010000001</c:v>
                </c:pt>
                <c:pt idx="44">
                  <c:v>3691.3673210000002</c:v>
                </c:pt>
                <c:pt idx="45">
                  <c:v>3658.5594059999999</c:v>
                </c:pt>
                <c:pt idx="46">
                  <c:v>3636.2749349999999</c:v>
                </c:pt>
                <c:pt idx="47">
                  <c:v>3640.14914</c:v>
                </c:pt>
                <c:pt idx="48">
                  <c:v>3620.9141159999999</c:v>
                </c:pt>
                <c:pt idx="49">
                  <c:v>3637.81898</c:v>
                </c:pt>
                <c:pt idx="50">
                  <c:v>3638.9000299999998</c:v>
                </c:pt>
                <c:pt idx="51">
                  <c:v>3598.5835529999999</c:v>
                </c:pt>
                <c:pt idx="52">
                  <c:v>3604.9780460000002</c:v>
                </c:pt>
                <c:pt idx="53">
                  <c:v>3601.4072799999999</c:v>
                </c:pt>
                <c:pt idx="54">
                  <c:v>3597.1402539999999</c:v>
                </c:pt>
                <c:pt idx="55">
                  <c:v>3629.0291630000002</c:v>
                </c:pt>
                <c:pt idx="56">
                  <c:v>3619.948304</c:v>
                </c:pt>
                <c:pt idx="57">
                  <c:v>3595.4604210000002</c:v>
                </c:pt>
                <c:pt idx="58">
                  <c:v>3583.4963170000001</c:v>
                </c:pt>
                <c:pt idx="59">
                  <c:v>3605.0882959999999</c:v>
                </c:pt>
                <c:pt idx="60">
                  <c:v>3595.6306330000002</c:v>
                </c:pt>
                <c:pt idx="61">
                  <c:v>3560.171859</c:v>
                </c:pt>
                <c:pt idx="62">
                  <c:v>3435.756116</c:v>
                </c:pt>
                <c:pt idx="63">
                  <c:v>3380.4612910000001</c:v>
                </c:pt>
                <c:pt idx="64">
                  <c:v>3370.8888280000001</c:v>
                </c:pt>
                <c:pt idx="65">
                  <c:v>3376.4932840000001</c:v>
                </c:pt>
                <c:pt idx="66">
                  <c:v>3367.7850539999999</c:v>
                </c:pt>
                <c:pt idx="67">
                  <c:v>3346.1787479999998</c:v>
                </c:pt>
                <c:pt idx="68">
                  <c:v>3339.9745250000001</c:v>
                </c:pt>
                <c:pt idx="69">
                  <c:v>3365.2070220000001</c:v>
                </c:pt>
                <c:pt idx="70">
                  <c:v>3428.8486389999998</c:v>
                </c:pt>
                <c:pt idx="71">
                  <c:v>3448.850868</c:v>
                </c:pt>
                <c:pt idx="72">
                  <c:v>3366.8687380000001</c:v>
                </c:pt>
                <c:pt idx="73">
                  <c:v>3419.992182</c:v>
                </c:pt>
                <c:pt idx="74">
                  <c:v>3636.185113</c:v>
                </c:pt>
                <c:pt idx="75">
                  <c:v>3666.0970160000002</c:v>
                </c:pt>
                <c:pt idx="76">
                  <c:v>3555.4427569999998</c:v>
                </c:pt>
                <c:pt idx="77">
                  <c:v>3381.7773139999999</c:v>
                </c:pt>
                <c:pt idx="78">
                  <c:v>3192.1573119999998</c:v>
                </c:pt>
                <c:pt idx="79">
                  <c:v>3004.4527520000001</c:v>
                </c:pt>
                <c:pt idx="80">
                  <c:v>2994.9016369999999</c:v>
                </c:pt>
                <c:pt idx="81">
                  <c:v>2951.927725</c:v>
                </c:pt>
                <c:pt idx="82">
                  <c:v>2869.1563259999998</c:v>
                </c:pt>
                <c:pt idx="83">
                  <c:v>2861.1464989999999</c:v>
                </c:pt>
                <c:pt idx="84">
                  <c:v>2765.9195380000001</c:v>
                </c:pt>
                <c:pt idx="85">
                  <c:v>2730.8296780000001</c:v>
                </c:pt>
                <c:pt idx="86">
                  <c:v>2673.7430650000001</c:v>
                </c:pt>
                <c:pt idx="87">
                  <c:v>2612.2682479999999</c:v>
                </c:pt>
                <c:pt idx="88">
                  <c:v>2609.8682709999998</c:v>
                </c:pt>
                <c:pt idx="89">
                  <c:v>2630.622813</c:v>
                </c:pt>
                <c:pt idx="90">
                  <c:v>2576.0066189999998</c:v>
                </c:pt>
                <c:pt idx="91">
                  <c:v>2528.9431679999998</c:v>
                </c:pt>
                <c:pt idx="92">
                  <c:v>2526.82465</c:v>
                </c:pt>
                <c:pt idx="93">
                  <c:v>2534.2513760000002</c:v>
                </c:pt>
                <c:pt idx="94">
                  <c:v>2468.8076500000002</c:v>
                </c:pt>
                <c:pt idx="95">
                  <c:v>2498.2443320000002</c:v>
                </c:pt>
                <c:pt idx="96">
                  <c:v>2515.8312289999999</c:v>
                </c:pt>
                <c:pt idx="97">
                  <c:v>2524.312128</c:v>
                </c:pt>
                <c:pt idx="98">
                  <c:v>2536.0462590000002</c:v>
                </c:pt>
                <c:pt idx="99">
                  <c:v>2570.7401009999999</c:v>
                </c:pt>
                <c:pt idx="100">
                  <c:v>2578.8118850000001</c:v>
                </c:pt>
                <c:pt idx="101">
                  <c:v>2589.156195</c:v>
                </c:pt>
                <c:pt idx="102">
                  <c:v>2590.6773990000002</c:v>
                </c:pt>
                <c:pt idx="103">
                  <c:v>2585.1719840000001</c:v>
                </c:pt>
                <c:pt idx="104">
                  <c:v>2578.7988909999999</c:v>
                </c:pt>
                <c:pt idx="105">
                  <c:v>2618.6700110000002</c:v>
                </c:pt>
                <c:pt idx="106">
                  <c:v>2660.6591840000001</c:v>
                </c:pt>
                <c:pt idx="107">
                  <c:v>2687.7012490000002</c:v>
                </c:pt>
                <c:pt idx="108">
                  <c:v>2678.5648329999999</c:v>
                </c:pt>
                <c:pt idx="109">
                  <c:v>2615.6827880000001</c:v>
                </c:pt>
                <c:pt idx="110">
                  <c:v>2581.1827579999999</c:v>
                </c:pt>
                <c:pt idx="111">
                  <c:v>2514.4249209999998</c:v>
                </c:pt>
                <c:pt idx="112">
                  <c:v>2489.3252630000002</c:v>
                </c:pt>
                <c:pt idx="113">
                  <c:v>2466.361089</c:v>
                </c:pt>
                <c:pt idx="114">
                  <c:v>2482.1963470000001</c:v>
                </c:pt>
                <c:pt idx="115">
                  <c:v>2476.3925140000001</c:v>
                </c:pt>
                <c:pt idx="116">
                  <c:v>2503.0007799999998</c:v>
                </c:pt>
                <c:pt idx="117">
                  <c:v>2480.794191</c:v>
                </c:pt>
                <c:pt idx="118">
                  <c:v>2328.545533</c:v>
                </c:pt>
                <c:pt idx="119">
                  <c:v>2410.0840389999998</c:v>
                </c:pt>
                <c:pt idx="120">
                  <c:v>2445.6060680000001</c:v>
                </c:pt>
                <c:pt idx="121">
                  <c:v>2578.4690340000002</c:v>
                </c:pt>
                <c:pt idx="122">
                  <c:v>2800.1758719999998</c:v>
                </c:pt>
                <c:pt idx="123">
                  <c:v>2815.0790830000001</c:v>
                </c:pt>
                <c:pt idx="124">
                  <c:v>2754.9485570000002</c:v>
                </c:pt>
                <c:pt idx="125">
                  <c:v>2587.271718</c:v>
                </c:pt>
                <c:pt idx="126">
                  <c:v>2459.291416</c:v>
                </c:pt>
                <c:pt idx="127">
                  <c:v>2389.337634</c:v>
                </c:pt>
                <c:pt idx="128">
                  <c:v>2367.690697</c:v>
                </c:pt>
                <c:pt idx="129">
                  <c:v>2398.5481159999999</c:v>
                </c:pt>
                <c:pt idx="130">
                  <c:v>2345.7631550000001</c:v>
                </c:pt>
                <c:pt idx="131">
                  <c:v>2330.3585320000002</c:v>
                </c:pt>
                <c:pt idx="132">
                  <c:v>2303.9807540000002</c:v>
                </c:pt>
                <c:pt idx="133">
                  <c:v>2290.4080800000002</c:v>
                </c:pt>
                <c:pt idx="134">
                  <c:v>2267.0757520000002</c:v>
                </c:pt>
                <c:pt idx="135">
                  <c:v>2252.1981559999999</c:v>
                </c:pt>
                <c:pt idx="136">
                  <c:v>2233.3368569999998</c:v>
                </c:pt>
                <c:pt idx="137">
                  <c:v>2253.1765230000001</c:v>
                </c:pt>
                <c:pt idx="138">
                  <c:v>2258.1429290000001</c:v>
                </c:pt>
                <c:pt idx="139">
                  <c:v>2198.3486640000001</c:v>
                </c:pt>
                <c:pt idx="140">
                  <c:v>2088.8827219999998</c:v>
                </c:pt>
                <c:pt idx="141">
                  <c:v>2066.435438</c:v>
                </c:pt>
                <c:pt idx="142">
                  <c:v>1997.090819</c:v>
                </c:pt>
                <c:pt idx="143">
                  <c:v>1936.8928860000001</c:v>
                </c:pt>
                <c:pt idx="144">
                  <c:v>1898.4175170000001</c:v>
                </c:pt>
                <c:pt idx="145">
                  <c:v>1875.522508</c:v>
                </c:pt>
                <c:pt idx="146">
                  <c:v>1896.238327</c:v>
                </c:pt>
                <c:pt idx="147">
                  <c:v>1955.1124620000001</c:v>
                </c:pt>
                <c:pt idx="148">
                  <c:v>2062.9678669999998</c:v>
                </c:pt>
                <c:pt idx="149">
                  <c:v>2098.0809509999999</c:v>
                </c:pt>
                <c:pt idx="150">
                  <c:v>2130.5841719999999</c:v>
                </c:pt>
                <c:pt idx="151">
                  <c:v>2241.2171199999998</c:v>
                </c:pt>
                <c:pt idx="152">
                  <c:v>2167.2932289999999</c:v>
                </c:pt>
                <c:pt idx="153">
                  <c:v>2040.8839680000001</c:v>
                </c:pt>
                <c:pt idx="154">
                  <c:v>1957.9902420000001</c:v>
                </c:pt>
                <c:pt idx="155">
                  <c:v>1967.9378850000001</c:v>
                </c:pt>
                <c:pt idx="156">
                  <c:v>1948.38202</c:v>
                </c:pt>
                <c:pt idx="157">
                  <c:v>1966.8313419999999</c:v>
                </c:pt>
                <c:pt idx="158">
                  <c:v>1805.116313</c:v>
                </c:pt>
                <c:pt idx="159">
                  <c:v>1642.0305350000001</c:v>
                </c:pt>
                <c:pt idx="160">
                  <c:v>1620.6674660000001</c:v>
                </c:pt>
                <c:pt idx="161">
                  <c:v>1628.5809079999999</c:v>
                </c:pt>
                <c:pt idx="162">
                  <c:v>1599.2376389999999</c:v>
                </c:pt>
                <c:pt idx="163">
                  <c:v>1641.822508</c:v>
                </c:pt>
                <c:pt idx="164">
                  <c:v>1681.725917</c:v>
                </c:pt>
                <c:pt idx="165">
                  <c:v>1700.8434279999999</c:v>
                </c:pt>
                <c:pt idx="166">
                  <c:v>1709.190687</c:v>
                </c:pt>
                <c:pt idx="167">
                  <c:v>1704.524154</c:v>
                </c:pt>
                <c:pt idx="168">
                  <c:v>1703.1837009999999</c:v>
                </c:pt>
                <c:pt idx="169">
                  <c:v>1708.7153679999999</c:v>
                </c:pt>
                <c:pt idx="170">
                  <c:v>1746.5081299999999</c:v>
                </c:pt>
                <c:pt idx="171">
                  <c:v>1753.530706</c:v>
                </c:pt>
                <c:pt idx="172">
                  <c:v>1730.8306769999999</c:v>
                </c:pt>
                <c:pt idx="173">
                  <c:v>1646.7854</c:v>
                </c:pt>
                <c:pt idx="174">
                  <c:v>1635.597608</c:v>
                </c:pt>
                <c:pt idx="175">
                  <c:v>1688.7511139999999</c:v>
                </c:pt>
                <c:pt idx="176">
                  <c:v>1723.2081900000001</c:v>
                </c:pt>
                <c:pt idx="177">
                  <c:v>1743.5871609999999</c:v>
                </c:pt>
                <c:pt idx="178">
                  <c:v>1745.0612980000001</c:v>
                </c:pt>
                <c:pt idx="179">
                  <c:v>1785.1052319999999</c:v>
                </c:pt>
                <c:pt idx="180">
                  <c:v>1807.3948780000001</c:v>
                </c:pt>
                <c:pt idx="181">
                  <c:v>1815.9194110000001</c:v>
                </c:pt>
                <c:pt idx="182">
                  <c:v>1837.2611429999999</c:v>
                </c:pt>
                <c:pt idx="183">
                  <c:v>1848.416121</c:v>
                </c:pt>
                <c:pt idx="184">
                  <c:v>1842.6816449999999</c:v>
                </c:pt>
                <c:pt idx="185">
                  <c:v>1842.1021410000001</c:v>
                </c:pt>
                <c:pt idx="186">
                  <c:v>1849.5072540000001</c:v>
                </c:pt>
                <c:pt idx="187">
                  <c:v>1829.4470040000001</c:v>
                </c:pt>
                <c:pt idx="188">
                  <c:v>1823.4138390000001</c:v>
                </c:pt>
                <c:pt idx="189">
                  <c:v>1818.2453929999999</c:v>
                </c:pt>
                <c:pt idx="190">
                  <c:v>1813.359078</c:v>
                </c:pt>
                <c:pt idx="191">
                  <c:v>1817.183998</c:v>
                </c:pt>
                <c:pt idx="192">
                  <c:v>1813.695747</c:v>
                </c:pt>
                <c:pt idx="193">
                  <c:v>1833.8960460000001</c:v>
                </c:pt>
                <c:pt idx="194">
                  <c:v>1850.9442690000001</c:v>
                </c:pt>
                <c:pt idx="195">
                  <c:v>1846.689717</c:v>
                </c:pt>
                <c:pt idx="196">
                  <c:v>1815.091451</c:v>
                </c:pt>
                <c:pt idx="197">
                  <c:v>1744.52196</c:v>
                </c:pt>
                <c:pt idx="198">
                  <c:v>1736.764731</c:v>
                </c:pt>
                <c:pt idx="199">
                  <c:v>1765.224064</c:v>
                </c:pt>
                <c:pt idx="200">
                  <c:v>1754.53279</c:v>
                </c:pt>
                <c:pt idx="201">
                  <c:v>1705.2645050000001</c:v>
                </c:pt>
                <c:pt idx="202">
                  <c:v>1705.7758710000001</c:v>
                </c:pt>
                <c:pt idx="203">
                  <c:v>1715.1682969999999</c:v>
                </c:pt>
                <c:pt idx="204">
                  <c:v>1727.4882580000001</c:v>
                </c:pt>
                <c:pt idx="205">
                  <c:v>1727.8577290000001</c:v>
                </c:pt>
                <c:pt idx="206">
                  <c:v>1735.2941699999999</c:v>
                </c:pt>
                <c:pt idx="207">
                  <c:v>1739.453548</c:v>
                </c:pt>
                <c:pt idx="208">
                  <c:v>1750.0029010000001</c:v>
                </c:pt>
                <c:pt idx="209">
                  <c:v>1753.363683</c:v>
                </c:pt>
                <c:pt idx="210">
                  <c:v>1836.3583000000001</c:v>
                </c:pt>
                <c:pt idx="211">
                  <c:v>1882.767934</c:v>
                </c:pt>
                <c:pt idx="212">
                  <c:v>1957.6465579999999</c:v>
                </c:pt>
                <c:pt idx="213">
                  <c:v>1965.850312</c:v>
                </c:pt>
                <c:pt idx="214">
                  <c:v>1913.3825079999999</c:v>
                </c:pt>
                <c:pt idx="215">
                  <c:v>1939.6329169999999</c:v>
                </c:pt>
                <c:pt idx="216">
                  <c:v>1941.537869</c:v>
                </c:pt>
                <c:pt idx="217">
                  <c:v>1977.948439</c:v>
                </c:pt>
                <c:pt idx="218">
                  <c:v>1978.1205</c:v>
                </c:pt>
                <c:pt idx="219">
                  <c:v>1976.7645789999999</c:v>
                </c:pt>
                <c:pt idx="220">
                  <c:v>1989.5170840000001</c:v>
                </c:pt>
                <c:pt idx="221">
                  <c:v>1993.210484</c:v>
                </c:pt>
                <c:pt idx="222">
                  <c:v>2007.123824</c:v>
                </c:pt>
                <c:pt idx="223">
                  <c:v>1947.9170079999999</c:v>
                </c:pt>
                <c:pt idx="224">
                  <c:v>1968.767597</c:v>
                </c:pt>
                <c:pt idx="225">
                  <c:v>1960.6550729999999</c:v>
                </c:pt>
                <c:pt idx="226">
                  <c:v>1872.215179</c:v>
                </c:pt>
                <c:pt idx="227">
                  <c:v>1850.4277079999999</c:v>
                </c:pt>
                <c:pt idx="228">
                  <c:v>1826.6807120000001</c:v>
                </c:pt>
                <c:pt idx="229">
                  <c:v>1816.497893</c:v>
                </c:pt>
                <c:pt idx="230">
                  <c:v>1800.341758</c:v>
                </c:pt>
                <c:pt idx="231">
                  <c:v>1797.207128</c:v>
                </c:pt>
                <c:pt idx="232">
                  <c:v>1785.4829319999999</c:v>
                </c:pt>
                <c:pt idx="233">
                  <c:v>1791.087698</c:v>
                </c:pt>
                <c:pt idx="234">
                  <c:v>1794.04341</c:v>
                </c:pt>
                <c:pt idx="235">
                  <c:v>1784.6699639999999</c:v>
                </c:pt>
                <c:pt idx="236">
                  <c:v>1775.5075899999999</c:v>
                </c:pt>
                <c:pt idx="237">
                  <c:v>1753.0684679999999</c:v>
                </c:pt>
                <c:pt idx="238">
                  <c:v>1736.181466</c:v>
                </c:pt>
                <c:pt idx="239">
                  <c:v>1733.5614410000001</c:v>
                </c:pt>
                <c:pt idx="240">
                  <c:v>1709.7831980000001</c:v>
                </c:pt>
                <c:pt idx="241">
                  <c:v>1738.202603</c:v>
                </c:pt>
                <c:pt idx="242">
                  <c:v>1762.542696</c:v>
                </c:pt>
                <c:pt idx="243">
                  <c:v>1774.1286279999999</c:v>
                </c:pt>
                <c:pt idx="244">
                  <c:v>1793.7226009999999</c:v>
                </c:pt>
                <c:pt idx="245">
                  <c:v>1761.489863</c:v>
                </c:pt>
                <c:pt idx="246">
                  <c:v>1805.2276850000001</c:v>
                </c:pt>
                <c:pt idx="247">
                  <c:v>1850.086877</c:v>
                </c:pt>
                <c:pt idx="248">
                  <c:v>1833.9016469999999</c:v>
                </c:pt>
                <c:pt idx="249">
                  <c:v>1776.5109970000001</c:v>
                </c:pt>
                <c:pt idx="250">
                  <c:v>1804.787955</c:v>
                </c:pt>
                <c:pt idx="251">
                  <c:v>1823.341183</c:v>
                </c:pt>
                <c:pt idx="252">
                  <c:v>1768.0425359999999</c:v>
                </c:pt>
                <c:pt idx="253">
                  <c:v>1854.417406</c:v>
                </c:pt>
                <c:pt idx="254">
                  <c:v>1832.1521969999999</c:v>
                </c:pt>
                <c:pt idx="255">
                  <c:v>1786.5627460000001</c:v>
                </c:pt>
                <c:pt idx="256">
                  <c:v>1699.336509</c:v>
                </c:pt>
                <c:pt idx="257">
                  <c:v>1618.5996970000001</c:v>
                </c:pt>
                <c:pt idx="258">
                  <c:v>1601.042117</c:v>
                </c:pt>
                <c:pt idx="259">
                  <c:v>1814.71714</c:v>
                </c:pt>
                <c:pt idx="260">
                  <c:v>1745.1478729999999</c:v>
                </c:pt>
                <c:pt idx="261">
                  <c:v>1713.180548</c:v>
                </c:pt>
                <c:pt idx="262">
                  <c:v>1680.066102</c:v>
                </c:pt>
                <c:pt idx="263">
                  <c:v>1630.121527</c:v>
                </c:pt>
              </c:numCache>
            </c:numRef>
          </c:val>
          <c:smooth val="0"/>
          <c:extLst>
            <c:ext xmlns:c16="http://schemas.microsoft.com/office/drawing/2014/chart" uri="{C3380CC4-5D6E-409C-BE32-E72D297353CC}">
              <c16:uniqueId val="{00000000-A34A-47FD-96D2-26361D7481AF}"/>
            </c:ext>
          </c:extLst>
        </c:ser>
        <c:ser>
          <c:idx val="2"/>
          <c:order val="2"/>
          <c:tx>
            <c:strRef>
              <c:f>Sheet1!$E$2</c:f>
              <c:strCache>
                <c:ptCount val="1"/>
                <c:pt idx="0">
                  <c:v>TER</c:v>
                </c:pt>
              </c:strCache>
            </c:strRef>
          </c:tx>
          <c:spPr>
            <a:ln w="28575" cap="rnd">
              <a:solidFill>
                <a:schemeClr val="accent3"/>
              </a:solidFill>
              <a:round/>
            </a:ln>
            <a:effectLst/>
          </c:spPr>
          <c:marker>
            <c:symbol val="none"/>
          </c:marker>
          <c:cat>
            <c:numRef>
              <c:f>Sheet1!$B$3:$B$266</c:f>
              <c:numCache>
                <c:formatCode>mmm\-yy</c:formatCode>
                <c:ptCount val="264"/>
                <c:pt idx="0">
                  <c:v>44531</c:v>
                </c:pt>
                <c:pt idx="1">
                  <c:v>44501</c:v>
                </c:pt>
                <c:pt idx="2">
                  <c:v>44470</c:v>
                </c:pt>
                <c:pt idx="3">
                  <c:v>44440</c:v>
                </c:pt>
                <c:pt idx="4">
                  <c:v>44409</c:v>
                </c:pt>
                <c:pt idx="5">
                  <c:v>44378</c:v>
                </c:pt>
                <c:pt idx="6">
                  <c:v>44348</c:v>
                </c:pt>
                <c:pt idx="7">
                  <c:v>44317</c:v>
                </c:pt>
                <c:pt idx="8">
                  <c:v>44287</c:v>
                </c:pt>
                <c:pt idx="9">
                  <c:v>44256</c:v>
                </c:pt>
                <c:pt idx="10">
                  <c:v>44228</c:v>
                </c:pt>
                <c:pt idx="11">
                  <c:v>44197</c:v>
                </c:pt>
                <c:pt idx="12">
                  <c:v>44166</c:v>
                </c:pt>
                <c:pt idx="13">
                  <c:v>44136</c:v>
                </c:pt>
                <c:pt idx="14">
                  <c:v>44105</c:v>
                </c:pt>
                <c:pt idx="15">
                  <c:v>44075</c:v>
                </c:pt>
                <c:pt idx="16">
                  <c:v>44044</c:v>
                </c:pt>
                <c:pt idx="17">
                  <c:v>44013</c:v>
                </c:pt>
                <c:pt idx="18">
                  <c:v>43983</c:v>
                </c:pt>
                <c:pt idx="19">
                  <c:v>43952</c:v>
                </c:pt>
                <c:pt idx="20">
                  <c:v>43922</c:v>
                </c:pt>
                <c:pt idx="21">
                  <c:v>43891</c:v>
                </c:pt>
                <c:pt idx="22">
                  <c:v>43862</c:v>
                </c:pt>
                <c:pt idx="23">
                  <c:v>43831</c:v>
                </c:pt>
                <c:pt idx="24">
                  <c:v>43800</c:v>
                </c:pt>
                <c:pt idx="25">
                  <c:v>43770</c:v>
                </c:pt>
                <c:pt idx="26">
                  <c:v>43739</c:v>
                </c:pt>
                <c:pt idx="27">
                  <c:v>43709</c:v>
                </c:pt>
                <c:pt idx="28">
                  <c:v>43678</c:v>
                </c:pt>
                <c:pt idx="29">
                  <c:v>43647</c:v>
                </c:pt>
                <c:pt idx="30">
                  <c:v>43617</c:v>
                </c:pt>
                <c:pt idx="31">
                  <c:v>43586</c:v>
                </c:pt>
                <c:pt idx="32">
                  <c:v>43556</c:v>
                </c:pt>
                <c:pt idx="33">
                  <c:v>43525</c:v>
                </c:pt>
                <c:pt idx="34">
                  <c:v>43497</c:v>
                </c:pt>
                <c:pt idx="35">
                  <c:v>43466</c:v>
                </c:pt>
                <c:pt idx="36">
                  <c:v>43435</c:v>
                </c:pt>
                <c:pt idx="37">
                  <c:v>43405</c:v>
                </c:pt>
                <c:pt idx="38">
                  <c:v>43374</c:v>
                </c:pt>
                <c:pt idx="39">
                  <c:v>43344</c:v>
                </c:pt>
                <c:pt idx="40">
                  <c:v>43313</c:v>
                </c:pt>
                <c:pt idx="41">
                  <c:v>43282</c:v>
                </c:pt>
                <c:pt idx="42">
                  <c:v>43252</c:v>
                </c:pt>
                <c:pt idx="43">
                  <c:v>43221</c:v>
                </c:pt>
                <c:pt idx="44">
                  <c:v>43191</c:v>
                </c:pt>
                <c:pt idx="45">
                  <c:v>43160</c:v>
                </c:pt>
                <c:pt idx="46">
                  <c:v>43132</c:v>
                </c:pt>
                <c:pt idx="47">
                  <c:v>43101</c:v>
                </c:pt>
                <c:pt idx="48">
                  <c:v>43070</c:v>
                </c:pt>
                <c:pt idx="49">
                  <c:v>43040</c:v>
                </c:pt>
                <c:pt idx="50">
                  <c:v>43009</c:v>
                </c:pt>
                <c:pt idx="51">
                  <c:v>42979</c:v>
                </c:pt>
                <c:pt idx="52">
                  <c:v>42948</c:v>
                </c:pt>
                <c:pt idx="53">
                  <c:v>42917</c:v>
                </c:pt>
                <c:pt idx="54">
                  <c:v>42887</c:v>
                </c:pt>
                <c:pt idx="55">
                  <c:v>42856</c:v>
                </c:pt>
                <c:pt idx="56">
                  <c:v>42826</c:v>
                </c:pt>
                <c:pt idx="57">
                  <c:v>42795</c:v>
                </c:pt>
                <c:pt idx="58">
                  <c:v>42767</c:v>
                </c:pt>
                <c:pt idx="59">
                  <c:v>42736</c:v>
                </c:pt>
                <c:pt idx="60">
                  <c:v>42705</c:v>
                </c:pt>
                <c:pt idx="61">
                  <c:v>42675</c:v>
                </c:pt>
                <c:pt idx="62">
                  <c:v>42644</c:v>
                </c:pt>
                <c:pt idx="63">
                  <c:v>42614</c:v>
                </c:pt>
                <c:pt idx="64">
                  <c:v>42583</c:v>
                </c:pt>
                <c:pt idx="65">
                  <c:v>42552</c:v>
                </c:pt>
                <c:pt idx="66">
                  <c:v>42522</c:v>
                </c:pt>
                <c:pt idx="67">
                  <c:v>42491</c:v>
                </c:pt>
                <c:pt idx="68">
                  <c:v>42461</c:v>
                </c:pt>
                <c:pt idx="69">
                  <c:v>42430</c:v>
                </c:pt>
                <c:pt idx="70">
                  <c:v>42401</c:v>
                </c:pt>
                <c:pt idx="71">
                  <c:v>42370</c:v>
                </c:pt>
                <c:pt idx="72">
                  <c:v>42339</c:v>
                </c:pt>
                <c:pt idx="73">
                  <c:v>42309</c:v>
                </c:pt>
                <c:pt idx="74">
                  <c:v>42278</c:v>
                </c:pt>
                <c:pt idx="75">
                  <c:v>42248</c:v>
                </c:pt>
                <c:pt idx="76">
                  <c:v>42217</c:v>
                </c:pt>
                <c:pt idx="77">
                  <c:v>42186</c:v>
                </c:pt>
                <c:pt idx="78">
                  <c:v>42156</c:v>
                </c:pt>
                <c:pt idx="79">
                  <c:v>42125</c:v>
                </c:pt>
                <c:pt idx="80">
                  <c:v>42095</c:v>
                </c:pt>
                <c:pt idx="81">
                  <c:v>42064</c:v>
                </c:pt>
                <c:pt idx="82">
                  <c:v>42036</c:v>
                </c:pt>
                <c:pt idx="83">
                  <c:v>42005</c:v>
                </c:pt>
                <c:pt idx="84">
                  <c:v>41974</c:v>
                </c:pt>
                <c:pt idx="85">
                  <c:v>41944</c:v>
                </c:pt>
                <c:pt idx="86">
                  <c:v>41913</c:v>
                </c:pt>
                <c:pt idx="87">
                  <c:v>41883</c:v>
                </c:pt>
                <c:pt idx="88">
                  <c:v>41852</c:v>
                </c:pt>
                <c:pt idx="89">
                  <c:v>41821</c:v>
                </c:pt>
                <c:pt idx="90">
                  <c:v>41791</c:v>
                </c:pt>
                <c:pt idx="91">
                  <c:v>41760</c:v>
                </c:pt>
                <c:pt idx="92">
                  <c:v>41730</c:v>
                </c:pt>
                <c:pt idx="93">
                  <c:v>41699</c:v>
                </c:pt>
                <c:pt idx="94">
                  <c:v>41671</c:v>
                </c:pt>
                <c:pt idx="95">
                  <c:v>41640</c:v>
                </c:pt>
                <c:pt idx="96">
                  <c:v>41609</c:v>
                </c:pt>
                <c:pt idx="97">
                  <c:v>41579</c:v>
                </c:pt>
                <c:pt idx="98">
                  <c:v>41548</c:v>
                </c:pt>
                <c:pt idx="99">
                  <c:v>41518</c:v>
                </c:pt>
                <c:pt idx="100">
                  <c:v>41487</c:v>
                </c:pt>
                <c:pt idx="101">
                  <c:v>41456</c:v>
                </c:pt>
                <c:pt idx="102">
                  <c:v>41426</c:v>
                </c:pt>
                <c:pt idx="103">
                  <c:v>41395</c:v>
                </c:pt>
                <c:pt idx="104">
                  <c:v>41365</c:v>
                </c:pt>
                <c:pt idx="105">
                  <c:v>41334</c:v>
                </c:pt>
                <c:pt idx="106">
                  <c:v>41306</c:v>
                </c:pt>
                <c:pt idx="107">
                  <c:v>41275</c:v>
                </c:pt>
                <c:pt idx="108">
                  <c:v>41244</c:v>
                </c:pt>
                <c:pt idx="109">
                  <c:v>41214</c:v>
                </c:pt>
                <c:pt idx="110">
                  <c:v>41183</c:v>
                </c:pt>
                <c:pt idx="111">
                  <c:v>41153</c:v>
                </c:pt>
                <c:pt idx="112">
                  <c:v>41122</c:v>
                </c:pt>
                <c:pt idx="113">
                  <c:v>41091</c:v>
                </c:pt>
                <c:pt idx="114">
                  <c:v>41061</c:v>
                </c:pt>
                <c:pt idx="115">
                  <c:v>41030</c:v>
                </c:pt>
                <c:pt idx="116">
                  <c:v>41000</c:v>
                </c:pt>
                <c:pt idx="117">
                  <c:v>40969</c:v>
                </c:pt>
                <c:pt idx="118">
                  <c:v>40940</c:v>
                </c:pt>
                <c:pt idx="119">
                  <c:v>40909</c:v>
                </c:pt>
                <c:pt idx="120">
                  <c:v>40878</c:v>
                </c:pt>
                <c:pt idx="121">
                  <c:v>40848</c:v>
                </c:pt>
                <c:pt idx="122">
                  <c:v>40817</c:v>
                </c:pt>
                <c:pt idx="123">
                  <c:v>40787</c:v>
                </c:pt>
                <c:pt idx="124">
                  <c:v>40756</c:v>
                </c:pt>
                <c:pt idx="125">
                  <c:v>40725</c:v>
                </c:pt>
                <c:pt idx="126">
                  <c:v>40695</c:v>
                </c:pt>
                <c:pt idx="127">
                  <c:v>40664</c:v>
                </c:pt>
                <c:pt idx="128">
                  <c:v>40634</c:v>
                </c:pt>
                <c:pt idx="129">
                  <c:v>40603</c:v>
                </c:pt>
                <c:pt idx="130">
                  <c:v>40575</c:v>
                </c:pt>
                <c:pt idx="131">
                  <c:v>40544</c:v>
                </c:pt>
                <c:pt idx="132">
                  <c:v>40513</c:v>
                </c:pt>
                <c:pt idx="133">
                  <c:v>40483</c:v>
                </c:pt>
                <c:pt idx="134">
                  <c:v>40452</c:v>
                </c:pt>
                <c:pt idx="135">
                  <c:v>40422</c:v>
                </c:pt>
                <c:pt idx="136">
                  <c:v>40391</c:v>
                </c:pt>
                <c:pt idx="137">
                  <c:v>40360</c:v>
                </c:pt>
                <c:pt idx="138">
                  <c:v>40330</c:v>
                </c:pt>
                <c:pt idx="139">
                  <c:v>40299</c:v>
                </c:pt>
                <c:pt idx="140">
                  <c:v>40269</c:v>
                </c:pt>
                <c:pt idx="141">
                  <c:v>40238</c:v>
                </c:pt>
                <c:pt idx="142">
                  <c:v>40210</c:v>
                </c:pt>
                <c:pt idx="143">
                  <c:v>40179</c:v>
                </c:pt>
                <c:pt idx="144">
                  <c:v>40148</c:v>
                </c:pt>
                <c:pt idx="145">
                  <c:v>40118</c:v>
                </c:pt>
                <c:pt idx="146">
                  <c:v>40087</c:v>
                </c:pt>
                <c:pt idx="147">
                  <c:v>40057</c:v>
                </c:pt>
                <c:pt idx="148">
                  <c:v>40026</c:v>
                </c:pt>
                <c:pt idx="149">
                  <c:v>39995</c:v>
                </c:pt>
                <c:pt idx="150">
                  <c:v>39965</c:v>
                </c:pt>
                <c:pt idx="151">
                  <c:v>39934</c:v>
                </c:pt>
                <c:pt idx="152">
                  <c:v>39904</c:v>
                </c:pt>
                <c:pt idx="153">
                  <c:v>39873</c:v>
                </c:pt>
                <c:pt idx="154">
                  <c:v>39845</c:v>
                </c:pt>
                <c:pt idx="155">
                  <c:v>39814</c:v>
                </c:pt>
                <c:pt idx="156">
                  <c:v>39783</c:v>
                </c:pt>
                <c:pt idx="157">
                  <c:v>39753</c:v>
                </c:pt>
                <c:pt idx="158">
                  <c:v>39722</c:v>
                </c:pt>
                <c:pt idx="159">
                  <c:v>39692</c:v>
                </c:pt>
                <c:pt idx="160">
                  <c:v>39661</c:v>
                </c:pt>
                <c:pt idx="161">
                  <c:v>39630</c:v>
                </c:pt>
                <c:pt idx="162">
                  <c:v>39600</c:v>
                </c:pt>
                <c:pt idx="163">
                  <c:v>39569</c:v>
                </c:pt>
                <c:pt idx="164">
                  <c:v>39539</c:v>
                </c:pt>
                <c:pt idx="165">
                  <c:v>39508</c:v>
                </c:pt>
                <c:pt idx="166">
                  <c:v>39479</c:v>
                </c:pt>
                <c:pt idx="167">
                  <c:v>39448</c:v>
                </c:pt>
                <c:pt idx="168">
                  <c:v>39417</c:v>
                </c:pt>
                <c:pt idx="169">
                  <c:v>39387</c:v>
                </c:pt>
                <c:pt idx="170">
                  <c:v>39356</c:v>
                </c:pt>
                <c:pt idx="171">
                  <c:v>39326</c:v>
                </c:pt>
                <c:pt idx="172">
                  <c:v>39295</c:v>
                </c:pt>
                <c:pt idx="173">
                  <c:v>39264</c:v>
                </c:pt>
                <c:pt idx="174">
                  <c:v>39234</c:v>
                </c:pt>
                <c:pt idx="175">
                  <c:v>39203</c:v>
                </c:pt>
                <c:pt idx="176">
                  <c:v>39173</c:v>
                </c:pt>
                <c:pt idx="177">
                  <c:v>39142</c:v>
                </c:pt>
                <c:pt idx="178">
                  <c:v>39114</c:v>
                </c:pt>
                <c:pt idx="179">
                  <c:v>39083</c:v>
                </c:pt>
                <c:pt idx="180">
                  <c:v>39052</c:v>
                </c:pt>
                <c:pt idx="181">
                  <c:v>39022</c:v>
                </c:pt>
                <c:pt idx="182">
                  <c:v>38991</c:v>
                </c:pt>
                <c:pt idx="183">
                  <c:v>38961</c:v>
                </c:pt>
                <c:pt idx="184">
                  <c:v>38930</c:v>
                </c:pt>
                <c:pt idx="185">
                  <c:v>38899</c:v>
                </c:pt>
                <c:pt idx="186">
                  <c:v>38869</c:v>
                </c:pt>
                <c:pt idx="187">
                  <c:v>38838</c:v>
                </c:pt>
                <c:pt idx="188">
                  <c:v>38808</c:v>
                </c:pt>
                <c:pt idx="189">
                  <c:v>38777</c:v>
                </c:pt>
                <c:pt idx="190">
                  <c:v>38749</c:v>
                </c:pt>
                <c:pt idx="191">
                  <c:v>38718</c:v>
                </c:pt>
                <c:pt idx="192">
                  <c:v>38687</c:v>
                </c:pt>
                <c:pt idx="193">
                  <c:v>38657</c:v>
                </c:pt>
                <c:pt idx="194">
                  <c:v>38626</c:v>
                </c:pt>
                <c:pt idx="195">
                  <c:v>38596</c:v>
                </c:pt>
                <c:pt idx="196">
                  <c:v>38565</c:v>
                </c:pt>
                <c:pt idx="197">
                  <c:v>38534</c:v>
                </c:pt>
                <c:pt idx="198">
                  <c:v>38504</c:v>
                </c:pt>
                <c:pt idx="199">
                  <c:v>38473</c:v>
                </c:pt>
                <c:pt idx="200">
                  <c:v>38443</c:v>
                </c:pt>
                <c:pt idx="201">
                  <c:v>38412</c:v>
                </c:pt>
                <c:pt idx="202">
                  <c:v>38384</c:v>
                </c:pt>
                <c:pt idx="203">
                  <c:v>38353</c:v>
                </c:pt>
                <c:pt idx="204">
                  <c:v>38322</c:v>
                </c:pt>
                <c:pt idx="205">
                  <c:v>38292</c:v>
                </c:pt>
                <c:pt idx="206">
                  <c:v>38261</c:v>
                </c:pt>
                <c:pt idx="207">
                  <c:v>38231</c:v>
                </c:pt>
                <c:pt idx="208">
                  <c:v>38200</c:v>
                </c:pt>
                <c:pt idx="209">
                  <c:v>38169</c:v>
                </c:pt>
                <c:pt idx="210">
                  <c:v>38139</c:v>
                </c:pt>
                <c:pt idx="211">
                  <c:v>38108</c:v>
                </c:pt>
                <c:pt idx="212">
                  <c:v>38078</c:v>
                </c:pt>
                <c:pt idx="213">
                  <c:v>38047</c:v>
                </c:pt>
                <c:pt idx="214">
                  <c:v>38018</c:v>
                </c:pt>
                <c:pt idx="215">
                  <c:v>37987</c:v>
                </c:pt>
                <c:pt idx="216">
                  <c:v>37956</c:v>
                </c:pt>
                <c:pt idx="217">
                  <c:v>37926</c:v>
                </c:pt>
                <c:pt idx="218">
                  <c:v>37895</c:v>
                </c:pt>
                <c:pt idx="219">
                  <c:v>37865</c:v>
                </c:pt>
                <c:pt idx="220">
                  <c:v>37834</c:v>
                </c:pt>
                <c:pt idx="221">
                  <c:v>37803</c:v>
                </c:pt>
                <c:pt idx="222">
                  <c:v>37773</c:v>
                </c:pt>
                <c:pt idx="223">
                  <c:v>37742</c:v>
                </c:pt>
                <c:pt idx="224">
                  <c:v>37712</c:v>
                </c:pt>
                <c:pt idx="225">
                  <c:v>37681</c:v>
                </c:pt>
                <c:pt idx="226">
                  <c:v>37653</c:v>
                </c:pt>
                <c:pt idx="227">
                  <c:v>37622</c:v>
                </c:pt>
                <c:pt idx="228">
                  <c:v>37591</c:v>
                </c:pt>
                <c:pt idx="229">
                  <c:v>37561</c:v>
                </c:pt>
                <c:pt idx="230">
                  <c:v>37530</c:v>
                </c:pt>
                <c:pt idx="231">
                  <c:v>37500</c:v>
                </c:pt>
                <c:pt idx="232">
                  <c:v>37469</c:v>
                </c:pt>
                <c:pt idx="233">
                  <c:v>37438</c:v>
                </c:pt>
                <c:pt idx="234">
                  <c:v>37408</c:v>
                </c:pt>
                <c:pt idx="235">
                  <c:v>37377</c:v>
                </c:pt>
                <c:pt idx="236">
                  <c:v>37347</c:v>
                </c:pt>
                <c:pt idx="237">
                  <c:v>37316</c:v>
                </c:pt>
                <c:pt idx="238">
                  <c:v>37288</c:v>
                </c:pt>
                <c:pt idx="239">
                  <c:v>37257</c:v>
                </c:pt>
                <c:pt idx="240">
                  <c:v>37226</c:v>
                </c:pt>
                <c:pt idx="241">
                  <c:v>37196</c:v>
                </c:pt>
                <c:pt idx="242">
                  <c:v>37165</c:v>
                </c:pt>
                <c:pt idx="243">
                  <c:v>37135</c:v>
                </c:pt>
                <c:pt idx="244">
                  <c:v>37104</c:v>
                </c:pt>
                <c:pt idx="245">
                  <c:v>37073</c:v>
                </c:pt>
                <c:pt idx="246">
                  <c:v>37043</c:v>
                </c:pt>
                <c:pt idx="247">
                  <c:v>37012</c:v>
                </c:pt>
                <c:pt idx="248">
                  <c:v>36982</c:v>
                </c:pt>
                <c:pt idx="249">
                  <c:v>36951</c:v>
                </c:pt>
                <c:pt idx="250">
                  <c:v>36923</c:v>
                </c:pt>
                <c:pt idx="251">
                  <c:v>36892</c:v>
                </c:pt>
                <c:pt idx="252">
                  <c:v>36861</c:v>
                </c:pt>
                <c:pt idx="253">
                  <c:v>36831</c:v>
                </c:pt>
                <c:pt idx="254">
                  <c:v>36800</c:v>
                </c:pt>
                <c:pt idx="255">
                  <c:v>36770</c:v>
                </c:pt>
                <c:pt idx="256">
                  <c:v>36739</c:v>
                </c:pt>
                <c:pt idx="257">
                  <c:v>36708</c:v>
                </c:pt>
                <c:pt idx="258">
                  <c:v>36678</c:v>
                </c:pt>
                <c:pt idx="259">
                  <c:v>36647</c:v>
                </c:pt>
                <c:pt idx="260">
                  <c:v>36617</c:v>
                </c:pt>
                <c:pt idx="261">
                  <c:v>36586</c:v>
                </c:pt>
                <c:pt idx="262">
                  <c:v>36557</c:v>
                </c:pt>
                <c:pt idx="263">
                  <c:v>36526</c:v>
                </c:pt>
              </c:numCache>
            </c:numRef>
          </c:cat>
          <c:val>
            <c:numRef>
              <c:f>Sheet1!$E$3:$E$266</c:f>
              <c:numCache>
                <c:formatCode>General</c:formatCode>
                <c:ptCount val="264"/>
                <c:pt idx="0">
                  <c:v>2304.8317179999999</c:v>
                </c:pt>
                <c:pt idx="1">
                  <c:v>2302.0091640000001</c:v>
                </c:pt>
                <c:pt idx="2">
                  <c:v>2305.2350329999999</c:v>
                </c:pt>
                <c:pt idx="3">
                  <c:v>2317.232066</c:v>
                </c:pt>
                <c:pt idx="4">
                  <c:v>2318.666995</c:v>
                </c:pt>
                <c:pt idx="5">
                  <c:v>2319.8475560000002</c:v>
                </c:pt>
                <c:pt idx="6">
                  <c:v>2320.6247290000001</c:v>
                </c:pt>
                <c:pt idx="7">
                  <c:v>2319.9337620000001</c:v>
                </c:pt>
                <c:pt idx="8">
                  <c:v>2319.2132799999999</c:v>
                </c:pt>
                <c:pt idx="9">
                  <c:v>2318.579154</c:v>
                </c:pt>
                <c:pt idx="10">
                  <c:v>2318.555265</c:v>
                </c:pt>
                <c:pt idx="11">
                  <c:v>2318.3509819999999</c:v>
                </c:pt>
                <c:pt idx="12">
                  <c:v>2320.7049069999998</c:v>
                </c:pt>
                <c:pt idx="13">
                  <c:v>2318.4685039999999</c:v>
                </c:pt>
                <c:pt idx="14">
                  <c:v>2319.1603989999999</c:v>
                </c:pt>
                <c:pt idx="15">
                  <c:v>2319.4169010000001</c:v>
                </c:pt>
                <c:pt idx="16">
                  <c:v>2323.5617649999999</c:v>
                </c:pt>
                <c:pt idx="17">
                  <c:v>2321.9222300000001</c:v>
                </c:pt>
                <c:pt idx="18">
                  <c:v>2316.42508</c:v>
                </c:pt>
                <c:pt idx="19">
                  <c:v>2315.0308009999999</c:v>
                </c:pt>
                <c:pt idx="20">
                  <c:v>2314.8894639999999</c:v>
                </c:pt>
                <c:pt idx="21">
                  <c:v>2302.2322340000001</c:v>
                </c:pt>
                <c:pt idx="22">
                  <c:v>2309.4533919999999</c:v>
                </c:pt>
                <c:pt idx="23">
                  <c:v>2303.4217819999999</c:v>
                </c:pt>
                <c:pt idx="24">
                  <c:v>2298.6576399999999</c:v>
                </c:pt>
                <c:pt idx="25">
                  <c:v>2303.7160680000002</c:v>
                </c:pt>
                <c:pt idx="26">
                  <c:v>2299.7978910000002</c:v>
                </c:pt>
                <c:pt idx="27">
                  <c:v>2299.6864009999999</c:v>
                </c:pt>
                <c:pt idx="28">
                  <c:v>2299.1360220000001</c:v>
                </c:pt>
                <c:pt idx="29">
                  <c:v>2299.9725250000001</c:v>
                </c:pt>
                <c:pt idx="30">
                  <c:v>2299.6095270000001</c:v>
                </c:pt>
                <c:pt idx="31">
                  <c:v>2300.0581240000001</c:v>
                </c:pt>
                <c:pt idx="32">
                  <c:v>2310.9102699999999</c:v>
                </c:pt>
                <c:pt idx="33">
                  <c:v>2342.6442339999999</c:v>
                </c:pt>
                <c:pt idx="34">
                  <c:v>2329.4754630000002</c:v>
                </c:pt>
                <c:pt idx="35">
                  <c:v>2306.2287070000002</c:v>
                </c:pt>
                <c:pt idx="36">
                  <c:v>2299.8070130000001</c:v>
                </c:pt>
                <c:pt idx="37">
                  <c:v>2296.8072560000001</c:v>
                </c:pt>
                <c:pt idx="38">
                  <c:v>2288.6498900000001</c:v>
                </c:pt>
                <c:pt idx="39">
                  <c:v>2285.0113040000001</c:v>
                </c:pt>
                <c:pt idx="40">
                  <c:v>2283.5873369999999</c:v>
                </c:pt>
                <c:pt idx="41">
                  <c:v>2277.1602370000001</c:v>
                </c:pt>
                <c:pt idx="42">
                  <c:v>2276.2074389999998</c:v>
                </c:pt>
                <c:pt idx="43">
                  <c:v>2279.6245920000001</c:v>
                </c:pt>
                <c:pt idx="44">
                  <c:v>2259.4638260000002</c:v>
                </c:pt>
                <c:pt idx="45">
                  <c:v>2256.5172859999998</c:v>
                </c:pt>
                <c:pt idx="46">
                  <c:v>2252.1393480000002</c:v>
                </c:pt>
                <c:pt idx="47">
                  <c:v>2245.586644</c:v>
                </c:pt>
                <c:pt idx="48">
                  <c:v>2241.1840090000001</c:v>
                </c:pt>
                <c:pt idx="49">
                  <c:v>2272.4183250000001</c:v>
                </c:pt>
                <c:pt idx="50">
                  <c:v>2245.5453910000001</c:v>
                </c:pt>
                <c:pt idx="51">
                  <c:v>2242.3781610000001</c:v>
                </c:pt>
                <c:pt idx="52">
                  <c:v>2239.0794179999998</c:v>
                </c:pt>
                <c:pt idx="53">
                  <c:v>2237.7458940000001</c:v>
                </c:pt>
                <c:pt idx="54">
                  <c:v>2235.2785859999999</c:v>
                </c:pt>
                <c:pt idx="55">
                  <c:v>2236.2486880000001</c:v>
                </c:pt>
                <c:pt idx="56">
                  <c:v>2232.638426</c:v>
                </c:pt>
                <c:pt idx="57">
                  <c:v>2231.5273809999999</c:v>
                </c:pt>
                <c:pt idx="58">
                  <c:v>2233.5287119999998</c:v>
                </c:pt>
                <c:pt idx="59">
                  <c:v>2218.1241770000001</c:v>
                </c:pt>
                <c:pt idx="60">
                  <c:v>2178.0659519999999</c:v>
                </c:pt>
                <c:pt idx="61">
                  <c:v>2178.5326369999998</c:v>
                </c:pt>
                <c:pt idx="62">
                  <c:v>2181.774038</c:v>
                </c:pt>
                <c:pt idx="63">
                  <c:v>2180.3540710000002</c:v>
                </c:pt>
                <c:pt idx="64">
                  <c:v>2185.4089650000001</c:v>
                </c:pt>
                <c:pt idx="65">
                  <c:v>2187.1186269999998</c:v>
                </c:pt>
                <c:pt idx="66">
                  <c:v>2190.2612650000001</c:v>
                </c:pt>
                <c:pt idx="67">
                  <c:v>2187.964015</c:v>
                </c:pt>
                <c:pt idx="68">
                  <c:v>2188.4831600000002</c:v>
                </c:pt>
                <c:pt idx="69">
                  <c:v>2185.4998540000001</c:v>
                </c:pt>
                <c:pt idx="70">
                  <c:v>2183.530041</c:v>
                </c:pt>
                <c:pt idx="71">
                  <c:v>2181.1276670000002</c:v>
                </c:pt>
                <c:pt idx="72">
                  <c:v>2151.892734</c:v>
                </c:pt>
                <c:pt idx="73">
                  <c:v>2155.2494409999999</c:v>
                </c:pt>
                <c:pt idx="74">
                  <c:v>2179.9795239999999</c:v>
                </c:pt>
                <c:pt idx="75">
                  <c:v>2163.0080710000002</c:v>
                </c:pt>
                <c:pt idx="76">
                  <c:v>2121.7715619999999</c:v>
                </c:pt>
                <c:pt idx="77">
                  <c:v>2154.283046</c:v>
                </c:pt>
                <c:pt idx="78">
                  <c:v>2209.7222809999998</c:v>
                </c:pt>
                <c:pt idx="79">
                  <c:v>2023.7375589999999</c:v>
                </c:pt>
                <c:pt idx="80">
                  <c:v>1900.9288449999999</c:v>
                </c:pt>
                <c:pt idx="81">
                  <c:v>1840.89885</c:v>
                </c:pt>
                <c:pt idx="82">
                  <c:v>1824.2339589999999</c:v>
                </c:pt>
                <c:pt idx="83">
                  <c:v>1774.393337</c:v>
                </c:pt>
                <c:pt idx="84">
                  <c:v>1728.1872109999999</c:v>
                </c:pt>
                <c:pt idx="85">
                  <c:v>1721.570712</c:v>
                </c:pt>
                <c:pt idx="86">
                  <c:v>1690.106356</c:v>
                </c:pt>
                <c:pt idx="87">
                  <c:v>1665.715428</c:v>
                </c:pt>
                <c:pt idx="88">
                  <c:v>1662.096491</c:v>
                </c:pt>
                <c:pt idx="89">
                  <c:v>1660.5926810000001</c:v>
                </c:pt>
                <c:pt idx="90">
                  <c:v>1677.9909809999999</c:v>
                </c:pt>
                <c:pt idx="91">
                  <c:v>1651.376874</c:v>
                </c:pt>
                <c:pt idx="92">
                  <c:v>1633.7764460000001</c:v>
                </c:pt>
                <c:pt idx="93">
                  <c:v>1632.4302660000001</c:v>
                </c:pt>
                <c:pt idx="94">
                  <c:v>1622.0225270000001</c:v>
                </c:pt>
                <c:pt idx="95">
                  <c:v>1611.537628</c:v>
                </c:pt>
                <c:pt idx="96">
                  <c:v>1600.4364840000001</c:v>
                </c:pt>
                <c:pt idx="97">
                  <c:v>1606.40534</c:v>
                </c:pt>
                <c:pt idx="98">
                  <c:v>1606.9311949999999</c:v>
                </c:pt>
                <c:pt idx="99">
                  <c:v>1612.9124409999999</c:v>
                </c:pt>
                <c:pt idx="100">
                  <c:v>1617.330025</c:v>
                </c:pt>
                <c:pt idx="101">
                  <c:v>1621.1994440000001</c:v>
                </c:pt>
                <c:pt idx="102">
                  <c:v>1632.938654</c:v>
                </c:pt>
                <c:pt idx="103">
                  <c:v>1627.5920470000001</c:v>
                </c:pt>
                <c:pt idx="104">
                  <c:v>1622.26665</c:v>
                </c:pt>
                <c:pt idx="105">
                  <c:v>1619.7271559999999</c:v>
                </c:pt>
                <c:pt idx="106">
                  <c:v>1618.793719</c:v>
                </c:pt>
                <c:pt idx="107">
                  <c:v>1598.1548190000001</c:v>
                </c:pt>
                <c:pt idx="108">
                  <c:v>1593.6895239999999</c:v>
                </c:pt>
                <c:pt idx="109">
                  <c:v>1597.113464</c:v>
                </c:pt>
                <c:pt idx="110">
                  <c:v>1578.277773</c:v>
                </c:pt>
                <c:pt idx="111">
                  <c:v>1570.862005</c:v>
                </c:pt>
                <c:pt idx="112">
                  <c:v>1573.8461400000001</c:v>
                </c:pt>
                <c:pt idx="113">
                  <c:v>1570.0419750000001</c:v>
                </c:pt>
                <c:pt idx="114">
                  <c:v>1574.3394430000001</c:v>
                </c:pt>
                <c:pt idx="115">
                  <c:v>1573.9024979999999</c:v>
                </c:pt>
                <c:pt idx="116">
                  <c:v>1577.3873779999999</c:v>
                </c:pt>
                <c:pt idx="117">
                  <c:v>1592.690368</c:v>
                </c:pt>
                <c:pt idx="118">
                  <c:v>1588.608238</c:v>
                </c:pt>
                <c:pt idx="119">
                  <c:v>1586.651578</c:v>
                </c:pt>
                <c:pt idx="120">
                  <c:v>1610.4806960000001</c:v>
                </c:pt>
                <c:pt idx="121">
                  <c:v>1737.462464</c:v>
                </c:pt>
                <c:pt idx="122">
                  <c:v>1714.0112019999999</c:v>
                </c:pt>
                <c:pt idx="123">
                  <c:v>1639.0690750000001</c:v>
                </c:pt>
                <c:pt idx="124">
                  <c:v>1614.3392019999999</c:v>
                </c:pt>
                <c:pt idx="125">
                  <c:v>1581.6135400000001</c:v>
                </c:pt>
                <c:pt idx="126">
                  <c:v>1583.452816</c:v>
                </c:pt>
                <c:pt idx="127">
                  <c:v>1525.2449590000001</c:v>
                </c:pt>
                <c:pt idx="128">
                  <c:v>1508.4828910000001</c:v>
                </c:pt>
                <c:pt idx="129">
                  <c:v>1509.0891899999999</c:v>
                </c:pt>
                <c:pt idx="130">
                  <c:v>1507.8818389999999</c:v>
                </c:pt>
                <c:pt idx="131">
                  <c:v>1489.546955</c:v>
                </c:pt>
                <c:pt idx="132">
                  <c:v>1465.498638</c:v>
                </c:pt>
                <c:pt idx="133">
                  <c:v>1490.1384169999999</c:v>
                </c:pt>
                <c:pt idx="134">
                  <c:v>1495.5641450000001</c:v>
                </c:pt>
                <c:pt idx="135">
                  <c:v>1515.945348</c:v>
                </c:pt>
                <c:pt idx="136">
                  <c:v>1516.1725730000001</c:v>
                </c:pt>
                <c:pt idx="137">
                  <c:v>1497.97975</c:v>
                </c:pt>
                <c:pt idx="138">
                  <c:v>1455.2365709999999</c:v>
                </c:pt>
                <c:pt idx="139">
                  <c:v>1438.388062</c:v>
                </c:pt>
                <c:pt idx="140">
                  <c:v>1368.711354</c:v>
                </c:pt>
                <c:pt idx="141">
                  <c:v>1357.2025630000001</c:v>
                </c:pt>
                <c:pt idx="142">
                  <c:v>1351.3061729999999</c:v>
                </c:pt>
                <c:pt idx="143">
                  <c:v>1341.1811769999999</c:v>
                </c:pt>
                <c:pt idx="144">
                  <c:v>1335.9675</c:v>
                </c:pt>
                <c:pt idx="145">
                  <c:v>1330.667725</c:v>
                </c:pt>
                <c:pt idx="146">
                  <c:v>1314.783819</c:v>
                </c:pt>
                <c:pt idx="147">
                  <c:v>1303.2659200000001</c:v>
                </c:pt>
                <c:pt idx="148">
                  <c:v>1317.009861</c:v>
                </c:pt>
                <c:pt idx="149">
                  <c:v>1321.1347880000001</c:v>
                </c:pt>
                <c:pt idx="150">
                  <c:v>1308.7553579999999</c:v>
                </c:pt>
                <c:pt idx="151">
                  <c:v>1325.4876409999999</c:v>
                </c:pt>
                <c:pt idx="152">
                  <c:v>1331.138692</c:v>
                </c:pt>
                <c:pt idx="153">
                  <c:v>1305.9539460000001</c:v>
                </c:pt>
                <c:pt idx="154">
                  <c:v>1317.2045519999999</c:v>
                </c:pt>
                <c:pt idx="155">
                  <c:v>1340.6254670000001</c:v>
                </c:pt>
                <c:pt idx="156">
                  <c:v>1298.7252579999999</c:v>
                </c:pt>
                <c:pt idx="157">
                  <c:v>1246.9459059999999</c:v>
                </c:pt>
                <c:pt idx="158">
                  <c:v>1234.0938550000001</c:v>
                </c:pt>
                <c:pt idx="159">
                  <c:v>1156.7332019999999</c:v>
                </c:pt>
                <c:pt idx="160">
                  <c:v>1158.4532750000001</c:v>
                </c:pt>
                <c:pt idx="161">
                  <c:v>1163.9864689999999</c:v>
                </c:pt>
                <c:pt idx="162">
                  <c:v>1180.0287530000001</c:v>
                </c:pt>
                <c:pt idx="163">
                  <c:v>1200.57952</c:v>
                </c:pt>
                <c:pt idx="164">
                  <c:v>1213.4527479999999</c:v>
                </c:pt>
                <c:pt idx="165">
                  <c:v>1189.0044009999999</c:v>
                </c:pt>
                <c:pt idx="166">
                  <c:v>1156.0962010000001</c:v>
                </c:pt>
                <c:pt idx="167">
                  <c:v>1154.3999980000001</c:v>
                </c:pt>
                <c:pt idx="168">
                  <c:v>1146.866317</c:v>
                </c:pt>
                <c:pt idx="169">
                  <c:v>1144.9607840000001</c:v>
                </c:pt>
                <c:pt idx="170">
                  <c:v>1176.762033</c:v>
                </c:pt>
                <c:pt idx="171">
                  <c:v>1247.130414</c:v>
                </c:pt>
                <c:pt idx="172">
                  <c:v>1274.0115269999999</c:v>
                </c:pt>
                <c:pt idx="173">
                  <c:v>1264.971331</c:v>
                </c:pt>
                <c:pt idx="174">
                  <c:v>1252.6848500000001</c:v>
                </c:pt>
                <c:pt idx="175">
                  <c:v>1261.9735639999999</c:v>
                </c:pt>
                <c:pt idx="176">
                  <c:v>1258.474215</c:v>
                </c:pt>
                <c:pt idx="177">
                  <c:v>1247.5109440000001</c:v>
                </c:pt>
                <c:pt idx="178">
                  <c:v>1280.0500480000001</c:v>
                </c:pt>
                <c:pt idx="179">
                  <c:v>1286.899893</c:v>
                </c:pt>
                <c:pt idx="180">
                  <c:v>1270.532205</c:v>
                </c:pt>
                <c:pt idx="181">
                  <c:v>1295.4483090000001</c:v>
                </c:pt>
                <c:pt idx="182">
                  <c:v>1267.877023</c:v>
                </c:pt>
                <c:pt idx="183">
                  <c:v>1304.42625</c:v>
                </c:pt>
                <c:pt idx="184">
                  <c:v>1298.299356</c:v>
                </c:pt>
                <c:pt idx="185">
                  <c:v>1265.8387279999999</c:v>
                </c:pt>
                <c:pt idx="186">
                  <c:v>1251.4128000000001</c:v>
                </c:pt>
                <c:pt idx="187">
                  <c:v>1239.566781</c:v>
                </c:pt>
                <c:pt idx="188">
                  <c:v>1217.2872669999999</c:v>
                </c:pt>
                <c:pt idx="189">
                  <c:v>1210.9916169999999</c:v>
                </c:pt>
                <c:pt idx="190">
                  <c:v>1185.9155249999999</c:v>
                </c:pt>
                <c:pt idx="191">
                  <c:v>1171.8092630000001</c:v>
                </c:pt>
                <c:pt idx="192">
                  <c:v>1162.0050590000001</c:v>
                </c:pt>
                <c:pt idx="193">
                  <c:v>1167.625356</c:v>
                </c:pt>
                <c:pt idx="194">
                  <c:v>1137.4294050000001</c:v>
                </c:pt>
                <c:pt idx="195">
                  <c:v>1131.5151639999999</c:v>
                </c:pt>
                <c:pt idx="196">
                  <c:v>1128.8963100000001</c:v>
                </c:pt>
                <c:pt idx="197">
                  <c:v>1131.3607</c:v>
                </c:pt>
                <c:pt idx="198">
                  <c:v>1119.7252559999999</c:v>
                </c:pt>
                <c:pt idx="199">
                  <c:v>1107.0639120000001</c:v>
                </c:pt>
                <c:pt idx="200">
                  <c:v>1097.739658</c:v>
                </c:pt>
                <c:pt idx="201">
                  <c:v>1104.3205250000001</c:v>
                </c:pt>
                <c:pt idx="202">
                  <c:v>1105.2855830000001</c:v>
                </c:pt>
                <c:pt idx="203">
                  <c:v>1078.7116639999999</c:v>
                </c:pt>
                <c:pt idx="204">
                  <c:v>1044.7521159999999</c:v>
                </c:pt>
                <c:pt idx="205">
                  <c:v>1052.988658</c:v>
                </c:pt>
                <c:pt idx="206">
                  <c:v>1061.5603450000001</c:v>
                </c:pt>
                <c:pt idx="207">
                  <c:v>1070.2578189999999</c:v>
                </c:pt>
                <c:pt idx="208">
                  <c:v>1083.800475</c:v>
                </c:pt>
                <c:pt idx="209">
                  <c:v>1103.528519</c:v>
                </c:pt>
                <c:pt idx="210">
                  <c:v>1118.6525329999999</c:v>
                </c:pt>
                <c:pt idx="211">
                  <c:v>1114.474995</c:v>
                </c:pt>
                <c:pt idx="212">
                  <c:v>1127.844116</c:v>
                </c:pt>
                <c:pt idx="213">
                  <c:v>1120.248243</c:v>
                </c:pt>
                <c:pt idx="214">
                  <c:v>1086.6941320000001</c:v>
                </c:pt>
                <c:pt idx="215">
                  <c:v>1061.857673</c:v>
                </c:pt>
                <c:pt idx="216">
                  <c:v>1050.8677279999999</c:v>
                </c:pt>
                <c:pt idx="217">
                  <c:v>1052.6936679999999</c:v>
                </c:pt>
                <c:pt idx="218">
                  <c:v>1047.889007</c:v>
                </c:pt>
                <c:pt idx="219">
                  <c:v>1047.6340319999999</c:v>
                </c:pt>
                <c:pt idx="220">
                  <c:v>1048.6314609999999</c:v>
                </c:pt>
                <c:pt idx="221">
                  <c:v>1042.3212719999999</c:v>
                </c:pt>
                <c:pt idx="222">
                  <c:v>1046.3933669999999</c:v>
                </c:pt>
                <c:pt idx="223">
                  <c:v>1025.4365949999999</c:v>
                </c:pt>
                <c:pt idx="224">
                  <c:v>1043.930515</c:v>
                </c:pt>
                <c:pt idx="225">
                  <c:v>1047.0177020000001</c:v>
                </c:pt>
                <c:pt idx="226">
                  <c:v>1016.21736</c:v>
                </c:pt>
                <c:pt idx="227">
                  <c:v>996.04278099999999</c:v>
                </c:pt>
                <c:pt idx="228">
                  <c:v>976.08020699999997</c:v>
                </c:pt>
                <c:pt idx="229">
                  <c:v>984.04614400000003</c:v>
                </c:pt>
                <c:pt idx="230">
                  <c:v>973.37314100000003</c:v>
                </c:pt>
                <c:pt idx="231">
                  <c:v>968.57897100000002</c:v>
                </c:pt>
                <c:pt idx="232">
                  <c:v>963.935607</c:v>
                </c:pt>
                <c:pt idx="233">
                  <c:v>941.82362699999999</c:v>
                </c:pt>
                <c:pt idx="234">
                  <c:v>953.50962200000004</c:v>
                </c:pt>
                <c:pt idx="235">
                  <c:v>973.71406400000001</c:v>
                </c:pt>
                <c:pt idx="236">
                  <c:v>978.08837400000004</c:v>
                </c:pt>
                <c:pt idx="237">
                  <c:v>965.996983</c:v>
                </c:pt>
                <c:pt idx="238">
                  <c:v>951.24167599999998</c:v>
                </c:pt>
                <c:pt idx="239">
                  <c:v>916.84521600000005</c:v>
                </c:pt>
                <c:pt idx="240">
                  <c:v>908.48145499999998</c:v>
                </c:pt>
                <c:pt idx="241">
                  <c:v>914.152784</c:v>
                </c:pt>
                <c:pt idx="242">
                  <c:v>924.95828200000005</c:v>
                </c:pt>
                <c:pt idx="243">
                  <c:v>909.784942</c:v>
                </c:pt>
                <c:pt idx="244">
                  <c:v>898.55678899999998</c:v>
                </c:pt>
                <c:pt idx="245">
                  <c:v>898.68766700000003</c:v>
                </c:pt>
                <c:pt idx="246">
                  <c:v>896.622028</c:v>
                </c:pt>
                <c:pt idx="247">
                  <c:v>901.26891000000001</c:v>
                </c:pt>
                <c:pt idx="248">
                  <c:v>891.24676099999999</c:v>
                </c:pt>
                <c:pt idx="249">
                  <c:v>839.69658000000004</c:v>
                </c:pt>
                <c:pt idx="250">
                  <c:v>821.23542699999996</c:v>
                </c:pt>
                <c:pt idx="251">
                  <c:v>810.18507999999997</c:v>
                </c:pt>
                <c:pt idx="252">
                  <c:v>808.29137400000002</c:v>
                </c:pt>
                <c:pt idx="253">
                  <c:v>804.23128699999995</c:v>
                </c:pt>
                <c:pt idx="254">
                  <c:v>804.66976599999998</c:v>
                </c:pt>
                <c:pt idx="255">
                  <c:v>802.89537800000005</c:v>
                </c:pt>
                <c:pt idx="256">
                  <c:v>804.871489</c:v>
                </c:pt>
                <c:pt idx="257">
                  <c:v>804.08874900000001</c:v>
                </c:pt>
                <c:pt idx="258">
                  <c:v>815.03082300000005</c:v>
                </c:pt>
                <c:pt idx="259">
                  <c:v>884.97157500000003</c:v>
                </c:pt>
                <c:pt idx="260">
                  <c:v>849.40843500000005</c:v>
                </c:pt>
                <c:pt idx="261">
                  <c:v>833.84911499999998</c:v>
                </c:pt>
                <c:pt idx="262">
                  <c:v>817.73146099999997</c:v>
                </c:pt>
                <c:pt idx="263">
                  <c:v>793.42214899999999</c:v>
                </c:pt>
              </c:numCache>
            </c:numRef>
          </c:val>
          <c:smooth val="0"/>
          <c:extLst>
            <c:ext xmlns:c16="http://schemas.microsoft.com/office/drawing/2014/chart" uri="{C3380CC4-5D6E-409C-BE32-E72D297353CC}">
              <c16:uniqueId val="{00000001-A34A-47FD-96D2-26361D7481AF}"/>
            </c:ext>
          </c:extLst>
        </c:ser>
        <c:dLbls>
          <c:showLegendKey val="0"/>
          <c:showVal val="0"/>
          <c:showCatName val="0"/>
          <c:showSerName val="0"/>
          <c:showPercent val="0"/>
          <c:showBubbleSize val="0"/>
        </c:dLbls>
        <c:marker val="1"/>
        <c:smooth val="0"/>
        <c:axId val="1232235471"/>
        <c:axId val="1232234223"/>
      </c:lineChart>
      <c:lineChart>
        <c:grouping val="standard"/>
        <c:varyColors val="0"/>
        <c:ser>
          <c:idx val="0"/>
          <c:order val="0"/>
          <c:tx>
            <c:strRef>
              <c:f>Sheet1!$C$2</c:f>
              <c:strCache>
                <c:ptCount val="1"/>
                <c:pt idx="0">
                  <c:v>KER</c:v>
                </c:pt>
              </c:strCache>
            </c:strRef>
          </c:tx>
          <c:spPr>
            <a:ln w="28575" cap="rnd">
              <a:solidFill>
                <a:schemeClr val="accent1"/>
              </a:solidFill>
              <a:round/>
            </a:ln>
            <a:effectLst/>
          </c:spPr>
          <c:marker>
            <c:symbol val="none"/>
          </c:marker>
          <c:cat>
            <c:numRef>
              <c:f>Sheet1!$B$3:$B$266</c:f>
              <c:numCache>
                <c:formatCode>mmm\-yy</c:formatCode>
                <c:ptCount val="264"/>
                <c:pt idx="0">
                  <c:v>44531</c:v>
                </c:pt>
                <c:pt idx="1">
                  <c:v>44501</c:v>
                </c:pt>
                <c:pt idx="2">
                  <c:v>44470</c:v>
                </c:pt>
                <c:pt idx="3">
                  <c:v>44440</c:v>
                </c:pt>
                <c:pt idx="4">
                  <c:v>44409</c:v>
                </c:pt>
                <c:pt idx="5">
                  <c:v>44378</c:v>
                </c:pt>
                <c:pt idx="6">
                  <c:v>44348</c:v>
                </c:pt>
                <c:pt idx="7">
                  <c:v>44317</c:v>
                </c:pt>
                <c:pt idx="8">
                  <c:v>44287</c:v>
                </c:pt>
                <c:pt idx="9">
                  <c:v>44256</c:v>
                </c:pt>
                <c:pt idx="10">
                  <c:v>44228</c:v>
                </c:pt>
                <c:pt idx="11">
                  <c:v>44197</c:v>
                </c:pt>
                <c:pt idx="12">
                  <c:v>44166</c:v>
                </c:pt>
                <c:pt idx="13">
                  <c:v>44136</c:v>
                </c:pt>
                <c:pt idx="14">
                  <c:v>44105</c:v>
                </c:pt>
                <c:pt idx="15">
                  <c:v>44075</c:v>
                </c:pt>
                <c:pt idx="16">
                  <c:v>44044</c:v>
                </c:pt>
                <c:pt idx="17">
                  <c:v>44013</c:v>
                </c:pt>
                <c:pt idx="18">
                  <c:v>43983</c:v>
                </c:pt>
                <c:pt idx="19">
                  <c:v>43952</c:v>
                </c:pt>
                <c:pt idx="20">
                  <c:v>43922</c:v>
                </c:pt>
                <c:pt idx="21">
                  <c:v>43891</c:v>
                </c:pt>
                <c:pt idx="22">
                  <c:v>43862</c:v>
                </c:pt>
                <c:pt idx="23">
                  <c:v>43831</c:v>
                </c:pt>
                <c:pt idx="24">
                  <c:v>43800</c:v>
                </c:pt>
                <c:pt idx="25">
                  <c:v>43770</c:v>
                </c:pt>
                <c:pt idx="26">
                  <c:v>43739</c:v>
                </c:pt>
                <c:pt idx="27">
                  <c:v>43709</c:v>
                </c:pt>
                <c:pt idx="28">
                  <c:v>43678</c:v>
                </c:pt>
                <c:pt idx="29">
                  <c:v>43647</c:v>
                </c:pt>
                <c:pt idx="30">
                  <c:v>43617</c:v>
                </c:pt>
                <c:pt idx="31">
                  <c:v>43586</c:v>
                </c:pt>
                <c:pt idx="32">
                  <c:v>43556</c:v>
                </c:pt>
                <c:pt idx="33">
                  <c:v>43525</c:v>
                </c:pt>
                <c:pt idx="34">
                  <c:v>43497</c:v>
                </c:pt>
                <c:pt idx="35">
                  <c:v>43466</c:v>
                </c:pt>
                <c:pt idx="36">
                  <c:v>43435</c:v>
                </c:pt>
                <c:pt idx="37">
                  <c:v>43405</c:v>
                </c:pt>
                <c:pt idx="38">
                  <c:v>43374</c:v>
                </c:pt>
                <c:pt idx="39">
                  <c:v>43344</c:v>
                </c:pt>
                <c:pt idx="40">
                  <c:v>43313</c:v>
                </c:pt>
                <c:pt idx="41">
                  <c:v>43282</c:v>
                </c:pt>
                <c:pt idx="42">
                  <c:v>43252</c:v>
                </c:pt>
                <c:pt idx="43">
                  <c:v>43221</c:v>
                </c:pt>
                <c:pt idx="44">
                  <c:v>43191</c:v>
                </c:pt>
                <c:pt idx="45">
                  <c:v>43160</c:v>
                </c:pt>
                <c:pt idx="46">
                  <c:v>43132</c:v>
                </c:pt>
                <c:pt idx="47">
                  <c:v>43101</c:v>
                </c:pt>
                <c:pt idx="48">
                  <c:v>43070</c:v>
                </c:pt>
                <c:pt idx="49">
                  <c:v>43040</c:v>
                </c:pt>
                <c:pt idx="50">
                  <c:v>43009</c:v>
                </c:pt>
                <c:pt idx="51">
                  <c:v>42979</c:v>
                </c:pt>
                <c:pt idx="52">
                  <c:v>42948</c:v>
                </c:pt>
                <c:pt idx="53">
                  <c:v>42917</c:v>
                </c:pt>
                <c:pt idx="54">
                  <c:v>42887</c:v>
                </c:pt>
                <c:pt idx="55">
                  <c:v>42856</c:v>
                </c:pt>
                <c:pt idx="56">
                  <c:v>42826</c:v>
                </c:pt>
                <c:pt idx="57">
                  <c:v>42795</c:v>
                </c:pt>
                <c:pt idx="58">
                  <c:v>42767</c:v>
                </c:pt>
                <c:pt idx="59">
                  <c:v>42736</c:v>
                </c:pt>
                <c:pt idx="60">
                  <c:v>42705</c:v>
                </c:pt>
                <c:pt idx="61">
                  <c:v>42675</c:v>
                </c:pt>
                <c:pt idx="62">
                  <c:v>42644</c:v>
                </c:pt>
                <c:pt idx="63">
                  <c:v>42614</c:v>
                </c:pt>
                <c:pt idx="64">
                  <c:v>42583</c:v>
                </c:pt>
                <c:pt idx="65">
                  <c:v>42552</c:v>
                </c:pt>
                <c:pt idx="66">
                  <c:v>42522</c:v>
                </c:pt>
                <c:pt idx="67">
                  <c:v>42491</c:v>
                </c:pt>
                <c:pt idx="68">
                  <c:v>42461</c:v>
                </c:pt>
                <c:pt idx="69">
                  <c:v>42430</c:v>
                </c:pt>
                <c:pt idx="70">
                  <c:v>42401</c:v>
                </c:pt>
                <c:pt idx="71">
                  <c:v>42370</c:v>
                </c:pt>
                <c:pt idx="72">
                  <c:v>42339</c:v>
                </c:pt>
                <c:pt idx="73">
                  <c:v>42309</c:v>
                </c:pt>
                <c:pt idx="74">
                  <c:v>42278</c:v>
                </c:pt>
                <c:pt idx="75">
                  <c:v>42248</c:v>
                </c:pt>
                <c:pt idx="76">
                  <c:v>42217</c:v>
                </c:pt>
                <c:pt idx="77">
                  <c:v>42186</c:v>
                </c:pt>
                <c:pt idx="78">
                  <c:v>42156</c:v>
                </c:pt>
                <c:pt idx="79">
                  <c:v>42125</c:v>
                </c:pt>
                <c:pt idx="80">
                  <c:v>42095</c:v>
                </c:pt>
                <c:pt idx="81">
                  <c:v>42064</c:v>
                </c:pt>
                <c:pt idx="82">
                  <c:v>42036</c:v>
                </c:pt>
                <c:pt idx="83">
                  <c:v>42005</c:v>
                </c:pt>
                <c:pt idx="84">
                  <c:v>41974</c:v>
                </c:pt>
                <c:pt idx="85">
                  <c:v>41944</c:v>
                </c:pt>
                <c:pt idx="86">
                  <c:v>41913</c:v>
                </c:pt>
                <c:pt idx="87">
                  <c:v>41883</c:v>
                </c:pt>
                <c:pt idx="88">
                  <c:v>41852</c:v>
                </c:pt>
                <c:pt idx="89">
                  <c:v>41821</c:v>
                </c:pt>
                <c:pt idx="90">
                  <c:v>41791</c:v>
                </c:pt>
                <c:pt idx="91">
                  <c:v>41760</c:v>
                </c:pt>
                <c:pt idx="92">
                  <c:v>41730</c:v>
                </c:pt>
                <c:pt idx="93">
                  <c:v>41699</c:v>
                </c:pt>
                <c:pt idx="94">
                  <c:v>41671</c:v>
                </c:pt>
                <c:pt idx="95">
                  <c:v>41640</c:v>
                </c:pt>
                <c:pt idx="96">
                  <c:v>41609</c:v>
                </c:pt>
                <c:pt idx="97">
                  <c:v>41579</c:v>
                </c:pt>
                <c:pt idx="98">
                  <c:v>41548</c:v>
                </c:pt>
                <c:pt idx="99">
                  <c:v>41518</c:v>
                </c:pt>
                <c:pt idx="100">
                  <c:v>41487</c:v>
                </c:pt>
                <c:pt idx="101">
                  <c:v>41456</c:v>
                </c:pt>
                <c:pt idx="102">
                  <c:v>41426</c:v>
                </c:pt>
                <c:pt idx="103">
                  <c:v>41395</c:v>
                </c:pt>
                <c:pt idx="104">
                  <c:v>41365</c:v>
                </c:pt>
                <c:pt idx="105">
                  <c:v>41334</c:v>
                </c:pt>
                <c:pt idx="106">
                  <c:v>41306</c:v>
                </c:pt>
                <c:pt idx="107">
                  <c:v>41275</c:v>
                </c:pt>
                <c:pt idx="108">
                  <c:v>41244</c:v>
                </c:pt>
                <c:pt idx="109">
                  <c:v>41214</c:v>
                </c:pt>
                <c:pt idx="110">
                  <c:v>41183</c:v>
                </c:pt>
                <c:pt idx="111">
                  <c:v>41153</c:v>
                </c:pt>
                <c:pt idx="112">
                  <c:v>41122</c:v>
                </c:pt>
                <c:pt idx="113">
                  <c:v>41091</c:v>
                </c:pt>
                <c:pt idx="114">
                  <c:v>41061</c:v>
                </c:pt>
                <c:pt idx="115">
                  <c:v>41030</c:v>
                </c:pt>
                <c:pt idx="116">
                  <c:v>41000</c:v>
                </c:pt>
                <c:pt idx="117">
                  <c:v>40969</c:v>
                </c:pt>
                <c:pt idx="118">
                  <c:v>40940</c:v>
                </c:pt>
                <c:pt idx="119">
                  <c:v>40909</c:v>
                </c:pt>
                <c:pt idx="120">
                  <c:v>40878</c:v>
                </c:pt>
                <c:pt idx="121">
                  <c:v>40848</c:v>
                </c:pt>
                <c:pt idx="122">
                  <c:v>40817</c:v>
                </c:pt>
                <c:pt idx="123">
                  <c:v>40787</c:v>
                </c:pt>
                <c:pt idx="124">
                  <c:v>40756</c:v>
                </c:pt>
                <c:pt idx="125">
                  <c:v>40725</c:v>
                </c:pt>
                <c:pt idx="126">
                  <c:v>40695</c:v>
                </c:pt>
                <c:pt idx="127">
                  <c:v>40664</c:v>
                </c:pt>
                <c:pt idx="128">
                  <c:v>40634</c:v>
                </c:pt>
                <c:pt idx="129">
                  <c:v>40603</c:v>
                </c:pt>
                <c:pt idx="130">
                  <c:v>40575</c:v>
                </c:pt>
                <c:pt idx="131">
                  <c:v>40544</c:v>
                </c:pt>
                <c:pt idx="132">
                  <c:v>40513</c:v>
                </c:pt>
                <c:pt idx="133">
                  <c:v>40483</c:v>
                </c:pt>
                <c:pt idx="134">
                  <c:v>40452</c:v>
                </c:pt>
                <c:pt idx="135">
                  <c:v>40422</c:v>
                </c:pt>
                <c:pt idx="136">
                  <c:v>40391</c:v>
                </c:pt>
                <c:pt idx="137">
                  <c:v>40360</c:v>
                </c:pt>
                <c:pt idx="138">
                  <c:v>40330</c:v>
                </c:pt>
                <c:pt idx="139">
                  <c:v>40299</c:v>
                </c:pt>
                <c:pt idx="140">
                  <c:v>40269</c:v>
                </c:pt>
                <c:pt idx="141">
                  <c:v>40238</c:v>
                </c:pt>
                <c:pt idx="142">
                  <c:v>40210</c:v>
                </c:pt>
                <c:pt idx="143">
                  <c:v>40179</c:v>
                </c:pt>
                <c:pt idx="144">
                  <c:v>40148</c:v>
                </c:pt>
                <c:pt idx="145">
                  <c:v>40118</c:v>
                </c:pt>
                <c:pt idx="146">
                  <c:v>40087</c:v>
                </c:pt>
                <c:pt idx="147">
                  <c:v>40057</c:v>
                </c:pt>
                <c:pt idx="148">
                  <c:v>40026</c:v>
                </c:pt>
                <c:pt idx="149">
                  <c:v>39995</c:v>
                </c:pt>
                <c:pt idx="150">
                  <c:v>39965</c:v>
                </c:pt>
                <c:pt idx="151">
                  <c:v>39934</c:v>
                </c:pt>
                <c:pt idx="152">
                  <c:v>39904</c:v>
                </c:pt>
                <c:pt idx="153">
                  <c:v>39873</c:v>
                </c:pt>
                <c:pt idx="154">
                  <c:v>39845</c:v>
                </c:pt>
                <c:pt idx="155">
                  <c:v>39814</c:v>
                </c:pt>
                <c:pt idx="156">
                  <c:v>39783</c:v>
                </c:pt>
                <c:pt idx="157">
                  <c:v>39753</c:v>
                </c:pt>
                <c:pt idx="158">
                  <c:v>39722</c:v>
                </c:pt>
                <c:pt idx="159">
                  <c:v>39692</c:v>
                </c:pt>
                <c:pt idx="160">
                  <c:v>39661</c:v>
                </c:pt>
                <c:pt idx="161">
                  <c:v>39630</c:v>
                </c:pt>
                <c:pt idx="162">
                  <c:v>39600</c:v>
                </c:pt>
                <c:pt idx="163">
                  <c:v>39569</c:v>
                </c:pt>
                <c:pt idx="164">
                  <c:v>39539</c:v>
                </c:pt>
                <c:pt idx="165">
                  <c:v>39508</c:v>
                </c:pt>
                <c:pt idx="166">
                  <c:v>39479</c:v>
                </c:pt>
                <c:pt idx="167">
                  <c:v>39448</c:v>
                </c:pt>
                <c:pt idx="168">
                  <c:v>39417</c:v>
                </c:pt>
                <c:pt idx="169">
                  <c:v>39387</c:v>
                </c:pt>
                <c:pt idx="170">
                  <c:v>39356</c:v>
                </c:pt>
                <c:pt idx="171">
                  <c:v>39326</c:v>
                </c:pt>
                <c:pt idx="172">
                  <c:v>39295</c:v>
                </c:pt>
                <c:pt idx="173">
                  <c:v>39264</c:v>
                </c:pt>
                <c:pt idx="174">
                  <c:v>39234</c:v>
                </c:pt>
                <c:pt idx="175">
                  <c:v>39203</c:v>
                </c:pt>
                <c:pt idx="176">
                  <c:v>39173</c:v>
                </c:pt>
                <c:pt idx="177">
                  <c:v>39142</c:v>
                </c:pt>
                <c:pt idx="178">
                  <c:v>39114</c:v>
                </c:pt>
                <c:pt idx="179">
                  <c:v>39083</c:v>
                </c:pt>
                <c:pt idx="180">
                  <c:v>39052</c:v>
                </c:pt>
                <c:pt idx="181">
                  <c:v>39022</c:v>
                </c:pt>
                <c:pt idx="182">
                  <c:v>38991</c:v>
                </c:pt>
                <c:pt idx="183">
                  <c:v>38961</c:v>
                </c:pt>
                <c:pt idx="184">
                  <c:v>38930</c:v>
                </c:pt>
                <c:pt idx="185">
                  <c:v>38899</c:v>
                </c:pt>
                <c:pt idx="186">
                  <c:v>38869</c:v>
                </c:pt>
                <c:pt idx="187">
                  <c:v>38838</c:v>
                </c:pt>
                <c:pt idx="188">
                  <c:v>38808</c:v>
                </c:pt>
                <c:pt idx="189">
                  <c:v>38777</c:v>
                </c:pt>
                <c:pt idx="190">
                  <c:v>38749</c:v>
                </c:pt>
                <c:pt idx="191">
                  <c:v>38718</c:v>
                </c:pt>
                <c:pt idx="192">
                  <c:v>38687</c:v>
                </c:pt>
                <c:pt idx="193">
                  <c:v>38657</c:v>
                </c:pt>
                <c:pt idx="194">
                  <c:v>38626</c:v>
                </c:pt>
                <c:pt idx="195">
                  <c:v>38596</c:v>
                </c:pt>
                <c:pt idx="196">
                  <c:v>38565</c:v>
                </c:pt>
                <c:pt idx="197">
                  <c:v>38534</c:v>
                </c:pt>
                <c:pt idx="198">
                  <c:v>38504</c:v>
                </c:pt>
                <c:pt idx="199">
                  <c:v>38473</c:v>
                </c:pt>
                <c:pt idx="200">
                  <c:v>38443</c:v>
                </c:pt>
                <c:pt idx="201">
                  <c:v>38412</c:v>
                </c:pt>
                <c:pt idx="202">
                  <c:v>38384</c:v>
                </c:pt>
                <c:pt idx="203">
                  <c:v>38353</c:v>
                </c:pt>
                <c:pt idx="204">
                  <c:v>38322</c:v>
                </c:pt>
                <c:pt idx="205">
                  <c:v>38292</c:v>
                </c:pt>
                <c:pt idx="206">
                  <c:v>38261</c:v>
                </c:pt>
                <c:pt idx="207">
                  <c:v>38231</c:v>
                </c:pt>
                <c:pt idx="208">
                  <c:v>38200</c:v>
                </c:pt>
                <c:pt idx="209">
                  <c:v>38169</c:v>
                </c:pt>
                <c:pt idx="210">
                  <c:v>38139</c:v>
                </c:pt>
                <c:pt idx="211">
                  <c:v>38108</c:v>
                </c:pt>
                <c:pt idx="212">
                  <c:v>38078</c:v>
                </c:pt>
                <c:pt idx="213">
                  <c:v>38047</c:v>
                </c:pt>
                <c:pt idx="214">
                  <c:v>38018</c:v>
                </c:pt>
                <c:pt idx="215">
                  <c:v>37987</c:v>
                </c:pt>
                <c:pt idx="216">
                  <c:v>37956</c:v>
                </c:pt>
                <c:pt idx="217">
                  <c:v>37926</c:v>
                </c:pt>
                <c:pt idx="218">
                  <c:v>37895</c:v>
                </c:pt>
                <c:pt idx="219">
                  <c:v>37865</c:v>
                </c:pt>
                <c:pt idx="220">
                  <c:v>37834</c:v>
                </c:pt>
                <c:pt idx="221">
                  <c:v>37803</c:v>
                </c:pt>
                <c:pt idx="222">
                  <c:v>37773</c:v>
                </c:pt>
                <c:pt idx="223">
                  <c:v>37742</c:v>
                </c:pt>
                <c:pt idx="224">
                  <c:v>37712</c:v>
                </c:pt>
                <c:pt idx="225">
                  <c:v>37681</c:v>
                </c:pt>
                <c:pt idx="226">
                  <c:v>37653</c:v>
                </c:pt>
                <c:pt idx="227">
                  <c:v>37622</c:v>
                </c:pt>
                <c:pt idx="228">
                  <c:v>37591</c:v>
                </c:pt>
                <c:pt idx="229">
                  <c:v>37561</c:v>
                </c:pt>
                <c:pt idx="230">
                  <c:v>37530</c:v>
                </c:pt>
                <c:pt idx="231">
                  <c:v>37500</c:v>
                </c:pt>
                <c:pt idx="232">
                  <c:v>37469</c:v>
                </c:pt>
                <c:pt idx="233">
                  <c:v>37438</c:v>
                </c:pt>
                <c:pt idx="234">
                  <c:v>37408</c:v>
                </c:pt>
                <c:pt idx="235">
                  <c:v>37377</c:v>
                </c:pt>
                <c:pt idx="236">
                  <c:v>37347</c:v>
                </c:pt>
                <c:pt idx="237">
                  <c:v>37316</c:v>
                </c:pt>
                <c:pt idx="238">
                  <c:v>37288</c:v>
                </c:pt>
                <c:pt idx="239">
                  <c:v>37257</c:v>
                </c:pt>
                <c:pt idx="240">
                  <c:v>37226</c:v>
                </c:pt>
                <c:pt idx="241">
                  <c:v>37196</c:v>
                </c:pt>
                <c:pt idx="242">
                  <c:v>37165</c:v>
                </c:pt>
                <c:pt idx="243">
                  <c:v>37135</c:v>
                </c:pt>
                <c:pt idx="244">
                  <c:v>37104</c:v>
                </c:pt>
                <c:pt idx="245">
                  <c:v>37073</c:v>
                </c:pt>
                <c:pt idx="246">
                  <c:v>37043</c:v>
                </c:pt>
                <c:pt idx="247">
                  <c:v>37012</c:v>
                </c:pt>
                <c:pt idx="248">
                  <c:v>36982</c:v>
                </c:pt>
                <c:pt idx="249">
                  <c:v>36951</c:v>
                </c:pt>
                <c:pt idx="250">
                  <c:v>36923</c:v>
                </c:pt>
                <c:pt idx="251">
                  <c:v>36892</c:v>
                </c:pt>
                <c:pt idx="252">
                  <c:v>36861</c:v>
                </c:pt>
                <c:pt idx="253">
                  <c:v>36831</c:v>
                </c:pt>
                <c:pt idx="254">
                  <c:v>36800</c:v>
                </c:pt>
                <c:pt idx="255">
                  <c:v>36770</c:v>
                </c:pt>
                <c:pt idx="256">
                  <c:v>36739</c:v>
                </c:pt>
                <c:pt idx="257">
                  <c:v>36708</c:v>
                </c:pt>
                <c:pt idx="258">
                  <c:v>36678</c:v>
                </c:pt>
                <c:pt idx="259">
                  <c:v>36647</c:v>
                </c:pt>
                <c:pt idx="260">
                  <c:v>36617</c:v>
                </c:pt>
                <c:pt idx="261">
                  <c:v>36586</c:v>
                </c:pt>
                <c:pt idx="262">
                  <c:v>36557</c:v>
                </c:pt>
                <c:pt idx="263">
                  <c:v>36526</c:v>
                </c:pt>
              </c:numCache>
            </c:numRef>
          </c:cat>
          <c:val>
            <c:numRef>
              <c:f>Sheet1!$C$3:$C$266</c:f>
              <c:numCache>
                <c:formatCode>General</c:formatCode>
                <c:ptCount val="264"/>
                <c:pt idx="0">
                  <c:v>112.987342</c:v>
                </c:pt>
                <c:pt idx="1">
                  <c:v>111.96529700000001</c:v>
                </c:pt>
                <c:pt idx="2">
                  <c:v>110.913145</c:v>
                </c:pt>
                <c:pt idx="3">
                  <c:v>110.149912</c:v>
                </c:pt>
                <c:pt idx="4">
                  <c:v>109.29643799999999</c:v>
                </c:pt>
                <c:pt idx="5">
                  <c:v>108.21690099999999</c:v>
                </c:pt>
                <c:pt idx="6">
                  <c:v>107.88767300000001</c:v>
                </c:pt>
                <c:pt idx="7">
                  <c:v>107.488255</c:v>
                </c:pt>
                <c:pt idx="8">
                  <c:v>107.888113</c:v>
                </c:pt>
                <c:pt idx="9">
                  <c:v>109.678799</c:v>
                </c:pt>
                <c:pt idx="10">
                  <c:v>109.636923</c:v>
                </c:pt>
                <c:pt idx="11">
                  <c:v>109.803031</c:v>
                </c:pt>
                <c:pt idx="12">
                  <c:v>110.611419</c:v>
                </c:pt>
                <c:pt idx="13">
                  <c:v>109.279172</c:v>
                </c:pt>
                <c:pt idx="14">
                  <c:v>108.630869</c:v>
                </c:pt>
                <c:pt idx="15">
                  <c:v>108.410088</c:v>
                </c:pt>
                <c:pt idx="16">
                  <c:v>108.194046</c:v>
                </c:pt>
                <c:pt idx="17">
                  <c:v>107.459039</c:v>
                </c:pt>
                <c:pt idx="18">
                  <c:v>106.487013</c:v>
                </c:pt>
                <c:pt idx="19">
                  <c:v>106.71381</c:v>
                </c:pt>
                <c:pt idx="20">
                  <c:v>106.572188</c:v>
                </c:pt>
                <c:pt idx="21">
                  <c:v>103.771996</c:v>
                </c:pt>
                <c:pt idx="22">
                  <c:v>100.832526</c:v>
                </c:pt>
                <c:pt idx="23">
                  <c:v>101.00315999999999</c:v>
                </c:pt>
                <c:pt idx="24">
                  <c:v>101.467731</c:v>
                </c:pt>
                <c:pt idx="25">
                  <c:v>102.345114</c:v>
                </c:pt>
                <c:pt idx="26">
                  <c:v>103.672033</c:v>
                </c:pt>
                <c:pt idx="27">
                  <c:v>103.887322</c:v>
                </c:pt>
                <c:pt idx="28">
                  <c:v>103.260685</c:v>
                </c:pt>
                <c:pt idx="29">
                  <c:v>103.220833</c:v>
                </c:pt>
                <c:pt idx="30">
                  <c:v>101.75560900000001</c:v>
                </c:pt>
                <c:pt idx="31">
                  <c:v>101.159741</c:v>
                </c:pt>
                <c:pt idx="32">
                  <c:v>101.090073</c:v>
                </c:pt>
                <c:pt idx="33">
                  <c:v>100.38466099999999</c:v>
                </c:pt>
                <c:pt idx="34">
                  <c:v>100.16349700000001</c:v>
                </c:pt>
                <c:pt idx="35">
                  <c:v>101.53623399999999</c:v>
                </c:pt>
                <c:pt idx="36">
                  <c:v>102.27696</c:v>
                </c:pt>
                <c:pt idx="37">
                  <c:v>102.376614</c:v>
                </c:pt>
                <c:pt idx="38">
                  <c:v>101.121933</c:v>
                </c:pt>
                <c:pt idx="39">
                  <c:v>100.88167199999999</c:v>
                </c:pt>
                <c:pt idx="40">
                  <c:v>100.598519</c:v>
                </c:pt>
                <c:pt idx="41">
                  <c:v>100.61045799999999</c:v>
                </c:pt>
                <c:pt idx="42">
                  <c:v>100.988007</c:v>
                </c:pt>
                <c:pt idx="43">
                  <c:v>100.68782299999999</c:v>
                </c:pt>
                <c:pt idx="44">
                  <c:v>101.07729500000001</c:v>
                </c:pt>
                <c:pt idx="45">
                  <c:v>101.100356</c:v>
                </c:pt>
                <c:pt idx="46">
                  <c:v>101.32475599999999</c:v>
                </c:pt>
                <c:pt idx="47">
                  <c:v>102.810543</c:v>
                </c:pt>
                <c:pt idx="48">
                  <c:v>103.076247</c:v>
                </c:pt>
                <c:pt idx="49">
                  <c:v>103.5179</c:v>
                </c:pt>
                <c:pt idx="50">
                  <c:v>103.433342</c:v>
                </c:pt>
                <c:pt idx="51">
                  <c:v>103.120525</c:v>
                </c:pt>
                <c:pt idx="52">
                  <c:v>103.51867300000001</c:v>
                </c:pt>
                <c:pt idx="53">
                  <c:v>103.867552</c:v>
                </c:pt>
                <c:pt idx="54">
                  <c:v>103.420637</c:v>
                </c:pt>
                <c:pt idx="55">
                  <c:v>103.27748200000001</c:v>
                </c:pt>
                <c:pt idx="56">
                  <c:v>103.292165</c:v>
                </c:pt>
                <c:pt idx="57">
                  <c:v>102.82598400000001</c:v>
                </c:pt>
                <c:pt idx="58">
                  <c:v>103.56764200000001</c:v>
                </c:pt>
                <c:pt idx="59">
                  <c:v>103.712673</c:v>
                </c:pt>
                <c:pt idx="60">
                  <c:v>102.01994999999999</c:v>
                </c:pt>
                <c:pt idx="61">
                  <c:v>101.695831</c:v>
                </c:pt>
                <c:pt idx="62">
                  <c:v>101.330448</c:v>
                </c:pt>
                <c:pt idx="63">
                  <c:v>101.21356299999999</c:v>
                </c:pt>
                <c:pt idx="64">
                  <c:v>101.389876</c:v>
                </c:pt>
                <c:pt idx="65">
                  <c:v>101.283919</c:v>
                </c:pt>
                <c:pt idx="66">
                  <c:v>101.090036</c:v>
                </c:pt>
                <c:pt idx="67">
                  <c:v>100.697951</c:v>
                </c:pt>
                <c:pt idx="68">
                  <c:v>101.173687</c:v>
                </c:pt>
                <c:pt idx="69">
                  <c:v>101.43335</c:v>
                </c:pt>
                <c:pt idx="70">
                  <c:v>101.866041</c:v>
                </c:pt>
                <c:pt idx="71">
                  <c:v>102.302285</c:v>
                </c:pt>
                <c:pt idx="72">
                  <c:v>102.16609200000001</c:v>
                </c:pt>
                <c:pt idx="73">
                  <c:v>102.12911800000001</c:v>
                </c:pt>
                <c:pt idx="74">
                  <c:v>102.652337</c:v>
                </c:pt>
                <c:pt idx="75">
                  <c:v>105.272442</c:v>
                </c:pt>
                <c:pt idx="76">
                  <c:v>102.40398</c:v>
                </c:pt>
                <c:pt idx="77">
                  <c:v>101.396968</c:v>
                </c:pt>
                <c:pt idx="78">
                  <c:v>97.779465000000002</c:v>
                </c:pt>
                <c:pt idx="79">
                  <c:v>96.561462000000006</c:v>
                </c:pt>
                <c:pt idx="80">
                  <c:v>93.488467999999997</c:v>
                </c:pt>
                <c:pt idx="81">
                  <c:v>91.741635000000002</c:v>
                </c:pt>
                <c:pt idx="82">
                  <c:v>91.431516000000002</c:v>
                </c:pt>
                <c:pt idx="83">
                  <c:v>91.389030000000005</c:v>
                </c:pt>
                <c:pt idx="84">
                  <c:v>90.431382999999997</c:v>
                </c:pt>
                <c:pt idx="85">
                  <c:v>90.028199999999998</c:v>
                </c:pt>
                <c:pt idx="86">
                  <c:v>89.222914000000003</c:v>
                </c:pt>
                <c:pt idx="87">
                  <c:v>88.927532999999997</c:v>
                </c:pt>
                <c:pt idx="88">
                  <c:v>88.147283000000002</c:v>
                </c:pt>
                <c:pt idx="89">
                  <c:v>87.808119000000005</c:v>
                </c:pt>
                <c:pt idx="90">
                  <c:v>87.648903000000004</c:v>
                </c:pt>
                <c:pt idx="91">
                  <c:v>87.487739000000005</c:v>
                </c:pt>
                <c:pt idx="92">
                  <c:v>86.765360999999999</c:v>
                </c:pt>
                <c:pt idx="93">
                  <c:v>86.537074000000004</c:v>
                </c:pt>
                <c:pt idx="94">
                  <c:v>86.315179000000001</c:v>
                </c:pt>
                <c:pt idx="95">
                  <c:v>86.258187000000007</c:v>
                </c:pt>
                <c:pt idx="96">
                  <c:v>86.586710999999994</c:v>
                </c:pt>
                <c:pt idx="97">
                  <c:v>86.195683000000002</c:v>
                </c:pt>
                <c:pt idx="98">
                  <c:v>85.245879000000002</c:v>
                </c:pt>
                <c:pt idx="99">
                  <c:v>87.367101000000005</c:v>
                </c:pt>
                <c:pt idx="100">
                  <c:v>87.468149999999994</c:v>
                </c:pt>
                <c:pt idx="101">
                  <c:v>86.899204999999995</c:v>
                </c:pt>
                <c:pt idx="102">
                  <c:v>85.528165000000001</c:v>
                </c:pt>
                <c:pt idx="103">
                  <c:v>84.147363999999996</c:v>
                </c:pt>
                <c:pt idx="104">
                  <c:v>84.162629999999993</c:v>
                </c:pt>
                <c:pt idx="105">
                  <c:v>85.805620000000005</c:v>
                </c:pt>
                <c:pt idx="106">
                  <c:v>87.391249999999999</c:v>
                </c:pt>
                <c:pt idx="107">
                  <c:v>86.941648000000001</c:v>
                </c:pt>
                <c:pt idx="108">
                  <c:v>85.961011999999997</c:v>
                </c:pt>
                <c:pt idx="109">
                  <c:v>85.631823999999995</c:v>
                </c:pt>
                <c:pt idx="110">
                  <c:v>85.065336000000002</c:v>
                </c:pt>
                <c:pt idx="111">
                  <c:v>84.570031</c:v>
                </c:pt>
                <c:pt idx="112">
                  <c:v>83.975117999999995</c:v>
                </c:pt>
                <c:pt idx="113">
                  <c:v>84.014449999999997</c:v>
                </c:pt>
                <c:pt idx="114">
                  <c:v>84.731697999999994</c:v>
                </c:pt>
                <c:pt idx="115">
                  <c:v>84.273156</c:v>
                </c:pt>
                <c:pt idx="116">
                  <c:v>83.129903999999996</c:v>
                </c:pt>
                <c:pt idx="117">
                  <c:v>82.793614000000005</c:v>
                </c:pt>
                <c:pt idx="118">
                  <c:v>83.038103000000007</c:v>
                </c:pt>
                <c:pt idx="119">
                  <c:v>85.993161000000001</c:v>
                </c:pt>
                <c:pt idx="120">
                  <c:v>86.502662999999998</c:v>
                </c:pt>
                <c:pt idx="121">
                  <c:v>93.412046000000004</c:v>
                </c:pt>
                <c:pt idx="122">
                  <c:v>101.29440700000001</c:v>
                </c:pt>
                <c:pt idx="123">
                  <c:v>96.526643000000007</c:v>
                </c:pt>
                <c:pt idx="124">
                  <c:v>92.903436999999997</c:v>
                </c:pt>
                <c:pt idx="125">
                  <c:v>89.905271999999997</c:v>
                </c:pt>
                <c:pt idx="126">
                  <c:v>89.017444999999995</c:v>
                </c:pt>
                <c:pt idx="127">
                  <c:v>85.388527999999994</c:v>
                </c:pt>
                <c:pt idx="128">
                  <c:v>83.835296</c:v>
                </c:pt>
                <c:pt idx="129">
                  <c:v>84.226965000000007</c:v>
                </c:pt>
                <c:pt idx="130">
                  <c:v>81.479618000000002</c:v>
                </c:pt>
                <c:pt idx="131">
                  <c:v>80.997485999999995</c:v>
                </c:pt>
                <c:pt idx="132">
                  <c:v>80.504812999999999</c:v>
                </c:pt>
                <c:pt idx="133">
                  <c:v>80.345291000000003</c:v>
                </c:pt>
                <c:pt idx="134">
                  <c:v>80.735377999999997</c:v>
                </c:pt>
                <c:pt idx="135">
                  <c:v>80.855919</c:v>
                </c:pt>
                <c:pt idx="136">
                  <c:v>80.548687000000001</c:v>
                </c:pt>
                <c:pt idx="137">
                  <c:v>81.288387999999998</c:v>
                </c:pt>
                <c:pt idx="138">
                  <c:v>80.954722000000004</c:v>
                </c:pt>
                <c:pt idx="139">
                  <c:v>78.670384999999996</c:v>
                </c:pt>
                <c:pt idx="140">
                  <c:v>77.385694999999998</c:v>
                </c:pt>
                <c:pt idx="141">
                  <c:v>76.928251000000003</c:v>
                </c:pt>
                <c:pt idx="142">
                  <c:v>76.739521999999994</c:v>
                </c:pt>
                <c:pt idx="143">
                  <c:v>75.760223999999994</c:v>
                </c:pt>
                <c:pt idx="144">
                  <c:v>75.462023000000002</c:v>
                </c:pt>
                <c:pt idx="145">
                  <c:v>74.678037000000003</c:v>
                </c:pt>
                <c:pt idx="146">
                  <c:v>75.274315999999999</c:v>
                </c:pt>
                <c:pt idx="147">
                  <c:v>75.376794000000004</c:v>
                </c:pt>
                <c:pt idx="148">
                  <c:v>76.197560999999993</c:v>
                </c:pt>
                <c:pt idx="149">
                  <c:v>76.578112000000004</c:v>
                </c:pt>
                <c:pt idx="150">
                  <c:v>77.678679000000002</c:v>
                </c:pt>
                <c:pt idx="151">
                  <c:v>77.752105999999998</c:v>
                </c:pt>
                <c:pt idx="152">
                  <c:v>79.395607999999996</c:v>
                </c:pt>
                <c:pt idx="153">
                  <c:v>80.179993999999994</c:v>
                </c:pt>
                <c:pt idx="154">
                  <c:v>79.394931999999997</c:v>
                </c:pt>
                <c:pt idx="155">
                  <c:v>79.073972999999995</c:v>
                </c:pt>
                <c:pt idx="156">
                  <c:v>77.933807999999999</c:v>
                </c:pt>
                <c:pt idx="157">
                  <c:v>78.111624000000006</c:v>
                </c:pt>
                <c:pt idx="158">
                  <c:v>76.570583999999997</c:v>
                </c:pt>
                <c:pt idx="159">
                  <c:v>71.563912999999999</c:v>
                </c:pt>
                <c:pt idx="160">
                  <c:v>67.713747999999995</c:v>
                </c:pt>
                <c:pt idx="161">
                  <c:v>66.633011999999994</c:v>
                </c:pt>
                <c:pt idx="162">
                  <c:v>63.820095999999999</c:v>
                </c:pt>
                <c:pt idx="163">
                  <c:v>61.848218000000003</c:v>
                </c:pt>
                <c:pt idx="164">
                  <c:v>62.215096000000003</c:v>
                </c:pt>
                <c:pt idx="165">
                  <c:v>64.732973000000001</c:v>
                </c:pt>
                <c:pt idx="166">
                  <c:v>70.283161000000007</c:v>
                </c:pt>
                <c:pt idx="167">
                  <c:v>68.685685000000007</c:v>
                </c:pt>
                <c:pt idx="168">
                  <c:v>63.237869000000003</c:v>
                </c:pt>
                <c:pt idx="169">
                  <c:v>65.397458</c:v>
                </c:pt>
                <c:pt idx="170">
                  <c:v>66.822074000000001</c:v>
                </c:pt>
                <c:pt idx="171">
                  <c:v>66.963068000000007</c:v>
                </c:pt>
                <c:pt idx="172">
                  <c:v>66.901584</c:v>
                </c:pt>
                <c:pt idx="173">
                  <c:v>67.085066999999995</c:v>
                </c:pt>
                <c:pt idx="174">
                  <c:v>66.542734999999993</c:v>
                </c:pt>
                <c:pt idx="175">
                  <c:v>67.074005999999997</c:v>
                </c:pt>
                <c:pt idx="176">
                  <c:v>68.510362999999998</c:v>
                </c:pt>
                <c:pt idx="177">
                  <c:v>69.231941000000006</c:v>
                </c:pt>
                <c:pt idx="178">
                  <c:v>69.543673999999996</c:v>
                </c:pt>
                <c:pt idx="179">
                  <c:v>69.903442999999996</c:v>
                </c:pt>
                <c:pt idx="180">
                  <c:v>69.631715</c:v>
                </c:pt>
                <c:pt idx="181">
                  <c:v>71.006079999999997</c:v>
                </c:pt>
                <c:pt idx="182">
                  <c:v>72.207337999999993</c:v>
                </c:pt>
                <c:pt idx="183">
                  <c:v>72.815154000000007</c:v>
                </c:pt>
                <c:pt idx="184">
                  <c:v>72.817368000000002</c:v>
                </c:pt>
                <c:pt idx="185">
                  <c:v>73.618599000000003</c:v>
                </c:pt>
                <c:pt idx="186">
                  <c:v>73.406684999999996</c:v>
                </c:pt>
                <c:pt idx="187">
                  <c:v>71.778617999999994</c:v>
                </c:pt>
                <c:pt idx="188">
                  <c:v>71.270646999999997</c:v>
                </c:pt>
                <c:pt idx="189">
                  <c:v>72.218428000000003</c:v>
                </c:pt>
                <c:pt idx="190">
                  <c:v>71.858001000000002</c:v>
                </c:pt>
                <c:pt idx="191">
                  <c:v>72.175139999999999</c:v>
                </c:pt>
                <c:pt idx="192">
                  <c:v>73.076104000000001</c:v>
                </c:pt>
                <c:pt idx="193">
                  <c:v>74.646528000000004</c:v>
                </c:pt>
                <c:pt idx="194">
                  <c:v>73.662779</c:v>
                </c:pt>
                <c:pt idx="195">
                  <c:v>74.008459000000002</c:v>
                </c:pt>
                <c:pt idx="196">
                  <c:v>75.794700000000006</c:v>
                </c:pt>
                <c:pt idx="197">
                  <c:v>76.216708999999994</c:v>
                </c:pt>
                <c:pt idx="198">
                  <c:v>76.655767999999995</c:v>
                </c:pt>
                <c:pt idx="199">
                  <c:v>76.393962000000002</c:v>
                </c:pt>
                <c:pt idx="200">
                  <c:v>76.225988999999998</c:v>
                </c:pt>
                <c:pt idx="201">
                  <c:v>74.718102000000002</c:v>
                </c:pt>
                <c:pt idx="202">
                  <c:v>76.863747000000004</c:v>
                </c:pt>
                <c:pt idx="203">
                  <c:v>77.816215</c:v>
                </c:pt>
                <c:pt idx="204">
                  <c:v>79.786492999999993</c:v>
                </c:pt>
                <c:pt idx="205">
                  <c:v>81.200275000000005</c:v>
                </c:pt>
                <c:pt idx="206">
                  <c:v>81.227540000000005</c:v>
                </c:pt>
                <c:pt idx="207">
                  <c:v>80.801117000000005</c:v>
                </c:pt>
                <c:pt idx="208">
                  <c:v>80.915845000000004</c:v>
                </c:pt>
                <c:pt idx="209">
                  <c:v>79.017471999999998</c:v>
                </c:pt>
                <c:pt idx="210">
                  <c:v>79.608108000000001</c:v>
                </c:pt>
                <c:pt idx="211">
                  <c:v>78.913531000000006</c:v>
                </c:pt>
                <c:pt idx="212">
                  <c:v>78.707083999999995</c:v>
                </c:pt>
                <c:pt idx="213">
                  <c:v>77.330318000000005</c:v>
                </c:pt>
                <c:pt idx="214">
                  <c:v>76.349086999999997</c:v>
                </c:pt>
                <c:pt idx="215">
                  <c:v>76.265583000000007</c:v>
                </c:pt>
                <c:pt idx="216">
                  <c:v>75.462748000000005</c:v>
                </c:pt>
                <c:pt idx="217">
                  <c:v>77.191326000000004</c:v>
                </c:pt>
                <c:pt idx="218">
                  <c:v>77.641542000000001</c:v>
                </c:pt>
                <c:pt idx="219">
                  <c:v>77.613417999999996</c:v>
                </c:pt>
                <c:pt idx="220">
                  <c:v>75.978775999999996</c:v>
                </c:pt>
                <c:pt idx="221">
                  <c:v>74.406231000000005</c:v>
                </c:pt>
                <c:pt idx="222">
                  <c:v>73.930903999999998</c:v>
                </c:pt>
                <c:pt idx="223">
                  <c:v>70.936426999999995</c:v>
                </c:pt>
                <c:pt idx="224">
                  <c:v>76.446793</c:v>
                </c:pt>
                <c:pt idx="225">
                  <c:v>77.523259999999993</c:v>
                </c:pt>
                <c:pt idx="226">
                  <c:v>77.100431999999998</c:v>
                </c:pt>
                <c:pt idx="227">
                  <c:v>77.661372</c:v>
                </c:pt>
                <c:pt idx="228">
                  <c:v>79.547786000000002</c:v>
                </c:pt>
                <c:pt idx="229">
                  <c:v>79.549813999999998</c:v>
                </c:pt>
                <c:pt idx="230">
                  <c:v>79.240334000000004</c:v>
                </c:pt>
                <c:pt idx="231">
                  <c:v>78.746994000000001</c:v>
                </c:pt>
                <c:pt idx="232">
                  <c:v>78.465332000000004</c:v>
                </c:pt>
                <c:pt idx="233">
                  <c:v>78.683195999999995</c:v>
                </c:pt>
                <c:pt idx="234">
                  <c:v>78.746089999999995</c:v>
                </c:pt>
                <c:pt idx="235">
                  <c:v>78.22636</c:v>
                </c:pt>
                <c:pt idx="236">
                  <c:v>78.318448000000004</c:v>
                </c:pt>
                <c:pt idx="237">
                  <c:v>78.049577999999997</c:v>
                </c:pt>
                <c:pt idx="238">
                  <c:v>78.061305000000004</c:v>
                </c:pt>
                <c:pt idx="239">
                  <c:v>78.413458000000006</c:v>
                </c:pt>
                <c:pt idx="240">
                  <c:v>78.663020000000003</c:v>
                </c:pt>
                <c:pt idx="241">
                  <c:v>79.010850000000005</c:v>
                </c:pt>
                <c:pt idx="242">
                  <c:v>79.346442999999994</c:v>
                </c:pt>
                <c:pt idx="243">
                  <c:v>79.383179999999996</c:v>
                </c:pt>
                <c:pt idx="244">
                  <c:v>79.168914000000001</c:v>
                </c:pt>
                <c:pt idx="245">
                  <c:v>79.647964999999999</c:v>
                </c:pt>
                <c:pt idx="246">
                  <c:v>78.996649000000005</c:v>
                </c:pt>
                <c:pt idx="247">
                  <c:v>78.794639000000004</c:v>
                </c:pt>
                <c:pt idx="248">
                  <c:v>77.758412000000007</c:v>
                </c:pt>
                <c:pt idx="249">
                  <c:v>77.766630000000006</c:v>
                </c:pt>
                <c:pt idx="250">
                  <c:v>78.383195000000001</c:v>
                </c:pt>
                <c:pt idx="251">
                  <c:v>78.795366999999999</c:v>
                </c:pt>
                <c:pt idx="252">
                  <c:v>78.889065000000002</c:v>
                </c:pt>
                <c:pt idx="253">
                  <c:v>78.816580999999999</c:v>
                </c:pt>
                <c:pt idx="254">
                  <c:v>79.600292999999994</c:v>
                </c:pt>
                <c:pt idx="255">
                  <c:v>78.235605000000007</c:v>
                </c:pt>
                <c:pt idx="256">
                  <c:v>76.692729999999997</c:v>
                </c:pt>
                <c:pt idx="257">
                  <c:v>76.734189999999998</c:v>
                </c:pt>
                <c:pt idx="258">
                  <c:v>77.633947000000006</c:v>
                </c:pt>
                <c:pt idx="259">
                  <c:v>84.235847000000007</c:v>
                </c:pt>
                <c:pt idx="260">
                  <c:v>80.838904999999997</c:v>
                </c:pt>
                <c:pt idx="261">
                  <c:v>79.358110999999994</c:v>
                </c:pt>
                <c:pt idx="262">
                  <c:v>77.824180999999996</c:v>
                </c:pt>
                <c:pt idx="263">
                  <c:v>75.510643000000002</c:v>
                </c:pt>
              </c:numCache>
            </c:numRef>
          </c:val>
          <c:smooth val="0"/>
          <c:extLst>
            <c:ext xmlns:c16="http://schemas.microsoft.com/office/drawing/2014/chart" uri="{C3380CC4-5D6E-409C-BE32-E72D297353CC}">
              <c16:uniqueId val="{00000002-A34A-47FD-96D2-26361D7481AF}"/>
            </c:ext>
          </c:extLst>
        </c:ser>
        <c:dLbls>
          <c:showLegendKey val="0"/>
          <c:showVal val="0"/>
          <c:showCatName val="0"/>
          <c:showSerName val="0"/>
          <c:showPercent val="0"/>
          <c:showBubbleSize val="0"/>
        </c:dLbls>
        <c:marker val="1"/>
        <c:smooth val="0"/>
        <c:axId val="1320859999"/>
        <c:axId val="1320851679"/>
      </c:lineChart>
      <c:dateAx>
        <c:axId val="123223547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2234223"/>
        <c:crosses val="autoZero"/>
        <c:auto val="1"/>
        <c:lblOffset val="100"/>
        <c:baseTimeUnit val="months"/>
      </c:dateAx>
      <c:valAx>
        <c:axId val="123223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2235471"/>
        <c:crosses val="autoZero"/>
        <c:crossBetween val="between"/>
      </c:valAx>
      <c:valAx>
        <c:axId val="132085167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859999"/>
        <c:crosses val="max"/>
        <c:crossBetween val="between"/>
      </c:valAx>
      <c:dateAx>
        <c:axId val="1320859999"/>
        <c:scaling>
          <c:orientation val="minMax"/>
        </c:scaling>
        <c:delete val="1"/>
        <c:axPos val="b"/>
        <c:numFmt formatCode="mmm\-yy" sourceLinked="1"/>
        <c:majorTickMark val="out"/>
        <c:minorTickMark val="none"/>
        <c:tickLblPos val="nextTo"/>
        <c:crossAx val="1320851679"/>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Sheet1!$N$2</c:f>
              <c:strCache>
                <c:ptCount val="1"/>
                <c:pt idx="0">
                  <c:v>KE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Sheet1!$M$3:$M$23</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Sheet1!$N$3:$N$23</c:f>
              <c:numCache>
                <c:formatCode>0.0</c:formatCode>
                <c:ptCount val="21"/>
                <c:pt idx="0">
                  <c:v>0.80817510000000004</c:v>
                </c:pt>
                <c:pt idx="1">
                  <c:v>2.1480599999999996</c:v>
                </c:pt>
                <c:pt idx="2">
                  <c:v>0.45223750000000001</c:v>
                </c:pt>
                <c:pt idx="3">
                  <c:v>2.0409229999999998</c:v>
                </c:pt>
                <c:pt idx="4">
                  <c:v>2.3279349999999996</c:v>
                </c:pt>
                <c:pt idx="5">
                  <c:v>2.7969060000000003</c:v>
                </c:pt>
                <c:pt idx="6">
                  <c:v>3.0186999999999999</c:v>
                </c:pt>
                <c:pt idx="7">
                  <c:v>2.7675900000000002</c:v>
                </c:pt>
                <c:pt idx="8">
                  <c:v>3.054249</c:v>
                </c:pt>
                <c:pt idx="9">
                  <c:v>2.8723339999999999</c:v>
                </c:pt>
                <c:pt idx="10">
                  <c:v>3.977271</c:v>
                </c:pt>
                <c:pt idx="11">
                  <c:v>3.4908870000000003</c:v>
                </c:pt>
                <c:pt idx="12">
                  <c:v>3.3305540000000002</c:v>
                </c:pt>
                <c:pt idx="13">
                  <c:v>3.7028349999999999</c:v>
                </c:pt>
                <c:pt idx="14">
                  <c:v>3.5777120000000004</c:v>
                </c:pt>
                <c:pt idx="15">
                  <c:v>3.2889699999999995</c:v>
                </c:pt>
                <c:pt idx="16">
                  <c:v>3.632117</c:v>
                </c:pt>
                <c:pt idx="17">
                  <c:v>3.1026889999999998</c:v>
                </c:pt>
                <c:pt idx="18">
                  <c:v>3.0423400000000003</c:v>
                </c:pt>
                <c:pt idx="19">
                  <c:v>2.7370459999999999</c:v>
                </c:pt>
                <c:pt idx="20">
                  <c:v>1.8125259999999999</c:v>
                </c:pt>
              </c:numCache>
            </c:numRef>
          </c:yVal>
          <c:smooth val="1"/>
          <c:extLst>
            <c:ext xmlns:c16="http://schemas.microsoft.com/office/drawing/2014/chart" uri="{C3380CC4-5D6E-409C-BE32-E72D297353CC}">
              <c16:uniqueId val="{00000000-74DC-47DE-B4DB-900D05A74F45}"/>
            </c:ext>
          </c:extLst>
        </c:ser>
        <c:ser>
          <c:idx val="1"/>
          <c:order val="1"/>
          <c:tx>
            <c:strRef>
              <c:f>Sheet1!$O$2</c:f>
              <c:strCache>
                <c:ptCount val="1"/>
                <c:pt idx="0">
                  <c:v>UG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Sheet1!$M$3:$M$23</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Sheet1!$O$3:$O$23</c:f>
              <c:numCache>
                <c:formatCode>0.0</c:formatCode>
                <c:ptCount val="21"/>
                <c:pt idx="0">
                  <c:v>5.5</c:v>
                </c:pt>
                <c:pt idx="1">
                  <c:v>5.3092440000000005</c:v>
                </c:pt>
                <c:pt idx="2">
                  <c:v>1.95262</c:v>
                </c:pt>
                <c:pt idx="3">
                  <c:v>3.2117070000000001</c:v>
                </c:pt>
                <c:pt idx="4">
                  <c:v>4.1784249999999998</c:v>
                </c:pt>
                <c:pt idx="5">
                  <c:v>3.4158300000000001</c:v>
                </c:pt>
                <c:pt idx="6">
                  <c:v>3.4363160000000001</c:v>
                </c:pt>
                <c:pt idx="7">
                  <c:v>3.6415589999999995</c:v>
                </c:pt>
                <c:pt idx="8">
                  <c:v>3.3376779999999999</c:v>
                </c:pt>
                <c:pt idx="9">
                  <c:v>3.546608</c:v>
                </c:pt>
                <c:pt idx="10">
                  <c:v>2.6852179999999999</c:v>
                </c:pt>
                <c:pt idx="11">
                  <c:v>3.9797959999999999</c:v>
                </c:pt>
                <c:pt idx="12">
                  <c:v>3.9301849999999998</c:v>
                </c:pt>
                <c:pt idx="13">
                  <c:v>2.6340810000000001</c:v>
                </c:pt>
                <c:pt idx="14">
                  <c:v>2.7801259999999997</c:v>
                </c:pt>
                <c:pt idx="15">
                  <c:v>1.1774659999999999</c:v>
                </c:pt>
                <c:pt idx="16">
                  <c:v>2.3536969999999999</c:v>
                </c:pt>
                <c:pt idx="17">
                  <c:v>3.071367</c:v>
                </c:pt>
                <c:pt idx="18">
                  <c:v>2.2292959999999997</c:v>
                </c:pt>
                <c:pt idx="19">
                  <c:v>3.2696320000000001</c:v>
                </c:pt>
                <c:pt idx="20">
                  <c:v>0.52297899999999997</c:v>
                </c:pt>
              </c:numCache>
            </c:numRef>
          </c:yVal>
          <c:smooth val="1"/>
          <c:extLst>
            <c:ext xmlns:c16="http://schemas.microsoft.com/office/drawing/2014/chart" uri="{C3380CC4-5D6E-409C-BE32-E72D297353CC}">
              <c16:uniqueId val="{00000001-74DC-47DE-B4DB-900D05A74F45}"/>
            </c:ext>
          </c:extLst>
        </c:ser>
        <c:ser>
          <c:idx val="2"/>
          <c:order val="2"/>
          <c:tx>
            <c:strRef>
              <c:f>Sheet1!$P$2</c:f>
              <c:strCache>
                <c:ptCount val="1"/>
                <c:pt idx="0">
                  <c:v>TZ</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Sheet1!$M$3:$M$23</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Sheet1!$P$3:$P$23</c:f>
              <c:numCache>
                <c:formatCode>General</c:formatCode>
                <c:ptCount val="21"/>
                <c:pt idx="5" formatCode="0.0">
                  <c:v>2.9</c:v>
                </c:pt>
                <c:pt idx="6" formatCode="0.0">
                  <c:v>2.9575089999999999</c:v>
                </c:pt>
                <c:pt idx="7" formatCode="0.0">
                  <c:v>3.6551809999999998</c:v>
                </c:pt>
                <c:pt idx="8" formatCode="0.0">
                  <c:v>2.760329</c:v>
                </c:pt>
                <c:pt idx="9" formatCode="0.0">
                  <c:v>2.085772</c:v>
                </c:pt>
                <c:pt idx="10" formatCode="0.0">
                  <c:v>1.314414</c:v>
                </c:pt>
                <c:pt idx="11" formatCode="0.0">
                  <c:v>1.6130870000000002</c:v>
                </c:pt>
                <c:pt idx="12" formatCode="0.0">
                  <c:v>1.7623650000000002</c:v>
                </c:pt>
                <c:pt idx="13" formatCode="0.0">
                  <c:v>1.6328049999999998</c:v>
                </c:pt>
                <c:pt idx="14" formatCode="0.0">
                  <c:v>2.0894699999999999</c:v>
                </c:pt>
                <c:pt idx="15" formatCode="0.0">
                  <c:v>0.75502880000000006</c:v>
                </c:pt>
                <c:pt idx="16" formatCode="0.0">
                  <c:v>0.60332559999999991</c:v>
                </c:pt>
                <c:pt idx="17" formatCode="0.0">
                  <c:v>0.78317009999999998</c:v>
                </c:pt>
                <c:pt idx="18" formatCode="0.0">
                  <c:v>0.28609220000000002</c:v>
                </c:pt>
                <c:pt idx="19" formatCode="0.0">
                  <c:v>0.57832340000000004</c:v>
                </c:pt>
                <c:pt idx="20" formatCode="0.0">
                  <c:v>0.19221099999999999</c:v>
                </c:pt>
              </c:numCache>
            </c:numRef>
          </c:yVal>
          <c:smooth val="1"/>
          <c:extLst>
            <c:ext xmlns:c16="http://schemas.microsoft.com/office/drawing/2014/chart" uri="{C3380CC4-5D6E-409C-BE32-E72D297353CC}">
              <c16:uniqueId val="{00000002-74DC-47DE-B4DB-900D05A74F45}"/>
            </c:ext>
          </c:extLst>
        </c:ser>
        <c:dLbls>
          <c:showLegendKey val="0"/>
          <c:showVal val="0"/>
          <c:showCatName val="0"/>
          <c:showSerName val="0"/>
          <c:showPercent val="0"/>
          <c:showBubbleSize val="0"/>
        </c:dLbls>
        <c:axId val="1320855839"/>
        <c:axId val="1320860415"/>
      </c:scatterChart>
      <c:valAx>
        <c:axId val="1320855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860415"/>
        <c:crosses val="autoZero"/>
        <c:crossBetween val="midCat"/>
      </c:valAx>
      <c:valAx>
        <c:axId val="13208604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85583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Sheet1!$G$3</c:f>
              <c:strCache>
                <c:ptCount val="1"/>
                <c:pt idx="0">
                  <c:v>Coefficient of Variation </c:v>
                </c:pt>
              </c:strCache>
            </c:strRef>
          </c:tx>
          <c:spPr>
            <a:solidFill>
              <a:schemeClr val="accent1"/>
            </a:solidFill>
            <a:ln>
              <a:noFill/>
            </a:ln>
            <a:effectLst/>
          </c:spPr>
          <c:invertIfNegative val="0"/>
          <c:cat>
            <c:strRef>
              <c:f>Sheet1!$F$4:$F$6</c:f>
              <c:strCache>
                <c:ptCount val="3"/>
                <c:pt idx="0">
                  <c:v>Kenya </c:v>
                </c:pt>
                <c:pt idx="1">
                  <c:v>Uganda </c:v>
                </c:pt>
                <c:pt idx="2">
                  <c:v>Tanzania</c:v>
                </c:pt>
              </c:strCache>
            </c:strRef>
          </c:cat>
          <c:val>
            <c:numRef>
              <c:f>Sheet1!$G$4:$G$6</c:f>
              <c:numCache>
                <c:formatCode>General</c:formatCode>
                <c:ptCount val="3"/>
                <c:pt idx="0">
                  <c:v>0.82</c:v>
                </c:pt>
                <c:pt idx="1">
                  <c:v>0.63</c:v>
                </c:pt>
                <c:pt idx="2">
                  <c:v>1</c:v>
                </c:pt>
              </c:numCache>
            </c:numRef>
          </c:val>
          <c:extLst>
            <c:ext xmlns:c16="http://schemas.microsoft.com/office/drawing/2014/chart" uri="{C3380CC4-5D6E-409C-BE32-E72D297353CC}">
              <c16:uniqueId val="{00000000-AD46-489B-9611-FCFE0EAAD5A5}"/>
            </c:ext>
          </c:extLst>
        </c:ser>
        <c:dLbls>
          <c:showLegendKey val="0"/>
          <c:showVal val="0"/>
          <c:showCatName val="0"/>
          <c:showSerName val="0"/>
          <c:showPercent val="0"/>
          <c:showBubbleSize val="0"/>
        </c:dLbls>
        <c:gapWidth val="219"/>
        <c:overlap val="-27"/>
        <c:axId val="142781839"/>
        <c:axId val="142786415"/>
      </c:barChart>
      <c:catAx>
        <c:axId val="14278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786415"/>
        <c:crosses val="autoZero"/>
        <c:auto val="1"/>
        <c:lblAlgn val="ctr"/>
        <c:lblOffset val="100"/>
        <c:noMultiLvlLbl val="0"/>
      </c:catAx>
      <c:valAx>
        <c:axId val="14278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781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Fat11</b:Tag>
    <b:SourceType>Report</b:SourceType>
    <b:Guid>{2B037C82-EFE5-433F-823B-9317198D6A91}</b:Guid>
    <b:Title>The Role of Human Resourec Practices, Supervisory Support and Work-Life Balance Policies on Employee Intention to Stay: A Study in Oil and Gas Company</b:Title>
    <b:Year>2011</b:Year>
    <b:City>Malaysia</b:City>
    <b:Author>
      <b:Author>
        <b:NameList>
          <b:Person>
            <b:Last>Fathaniy</b:Last>
            <b:First>A.</b:First>
            <b:Middle>Z.</b:Middle>
          </b:Person>
        </b:NameList>
      </b:Author>
    </b:Author>
    <b:Institution>Masters Thesis, Univesiti of Utara</b:Institution>
    <b:RefOrder>1</b:RefOrder>
  </b:Source>
</b:Sources>
</file>

<file path=customXml/itemProps1.xml><?xml version="1.0" encoding="utf-8"?>
<ds:datastoreItem xmlns:ds="http://schemas.openxmlformats.org/officeDocument/2006/customXml" ds:itemID="{7A52A219-698C-43BB-958A-30D0A9FA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12905</Words>
  <Characters>73563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Avatar 2</dc:creator>
  <cp:lastModifiedBy>HP</cp:lastModifiedBy>
  <cp:revision>7</cp:revision>
  <cp:lastPrinted>2022-11-15T12:05:00Z</cp:lastPrinted>
  <dcterms:created xsi:type="dcterms:W3CDTF">2022-12-30T12:25:00Z</dcterms:created>
  <dcterms:modified xsi:type="dcterms:W3CDTF">2022-12-30T13:14:00Z</dcterms:modified>
</cp:coreProperties>
</file>