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0CC73" w14:textId="77777777" w:rsidR="002B3948" w:rsidRPr="002B3948" w:rsidRDefault="002B3948" w:rsidP="002B3948">
      <w:pPr>
        <w:jc w:val="center"/>
        <w:rPr>
          <w:rFonts w:ascii="Georgia" w:hAnsi="Georgia" w:cs="Times New Roman"/>
          <w:b/>
          <w:sz w:val="28"/>
          <w:szCs w:val="28"/>
        </w:rPr>
      </w:pPr>
      <w:r w:rsidRPr="002B3948">
        <w:rPr>
          <w:rFonts w:ascii="Georgia" w:hAnsi="Georgia" w:cs="Times New Roman"/>
          <w:b/>
          <w:sz w:val="28"/>
          <w:szCs w:val="28"/>
        </w:rPr>
        <w:t>Teachers’ Perspectives on Career Guidance and Development Training in Kenya: Implications for Competency-Based Education Implementation</w:t>
      </w:r>
    </w:p>
    <w:p w14:paraId="44D024BB" w14:textId="77777777" w:rsidR="002B3948" w:rsidRDefault="002B3948" w:rsidP="002B3948">
      <w:pPr>
        <w:jc w:val="center"/>
        <w:rPr>
          <w:rFonts w:cs="Times New Roman"/>
          <w:b/>
          <w:szCs w:val="24"/>
        </w:rPr>
      </w:pPr>
    </w:p>
    <w:p w14:paraId="001DE252" w14:textId="1C10B71D" w:rsidR="002B3948" w:rsidRPr="002B3948" w:rsidRDefault="002B3948" w:rsidP="002B3948">
      <w:pPr>
        <w:spacing w:before="60" w:after="0"/>
        <w:jc w:val="center"/>
        <w:rPr>
          <w:rFonts w:ascii="Georgia" w:eastAsia="Times New Roman" w:hAnsi="Georgia" w:cs="Times New Roman"/>
          <w:bCs/>
          <w:sz w:val="22"/>
        </w:rPr>
      </w:pPr>
      <w:r w:rsidRPr="002B3948">
        <w:rPr>
          <w:rFonts w:ascii="Georgia" w:eastAsia="Times New Roman" w:hAnsi="Georgia" w:cs="Times New Roman"/>
          <w:bCs/>
          <w:sz w:val="22"/>
        </w:rPr>
        <w:t>Mercy Maina</w:t>
      </w:r>
      <w:r w:rsidRPr="002B3948">
        <w:rPr>
          <w:rFonts w:ascii="Georgia" w:eastAsia="Times New Roman" w:hAnsi="Georgia" w:cs="Times New Roman"/>
          <w:bCs/>
          <w:sz w:val="22"/>
          <w:vertAlign w:val="superscript"/>
        </w:rPr>
        <w:t>1*</w:t>
      </w:r>
      <w:r w:rsidRPr="002B3948">
        <w:rPr>
          <w:rFonts w:ascii="Georgia" w:eastAsia="Times New Roman" w:hAnsi="Georgia" w:cs="Times New Roman"/>
          <w:bCs/>
          <w:sz w:val="22"/>
        </w:rPr>
        <w:t>, Margaret Waithaka</w:t>
      </w:r>
      <w:r w:rsidRPr="002B3948">
        <w:rPr>
          <w:rFonts w:ascii="Georgia" w:eastAsia="Times New Roman" w:hAnsi="Georgia" w:cs="Times New Roman"/>
          <w:bCs/>
          <w:sz w:val="22"/>
          <w:vertAlign w:val="superscript"/>
        </w:rPr>
        <w:t>2</w:t>
      </w:r>
    </w:p>
    <w:p w14:paraId="158002BD" w14:textId="77777777" w:rsidR="002B3948" w:rsidRPr="002B3948" w:rsidRDefault="002B3948" w:rsidP="002B3948">
      <w:pPr>
        <w:spacing w:before="60" w:after="0"/>
        <w:jc w:val="center"/>
        <w:rPr>
          <w:rFonts w:ascii="Georgia" w:hAnsi="Georgia" w:cs="Times New Roman"/>
          <w:bCs/>
          <w:sz w:val="22"/>
        </w:rPr>
      </w:pPr>
      <w:r w:rsidRPr="002B3948">
        <w:rPr>
          <w:rFonts w:ascii="Georgia" w:eastAsia="Times New Roman" w:hAnsi="Georgia" w:cs="Times New Roman"/>
          <w:bCs/>
          <w:sz w:val="22"/>
          <w:vertAlign w:val="superscript"/>
        </w:rPr>
        <w:t>1</w:t>
      </w:r>
      <w:r w:rsidRPr="002B3948">
        <w:rPr>
          <w:rFonts w:ascii="Georgia" w:eastAsia="Times New Roman" w:hAnsi="Georgia" w:cs="Times New Roman"/>
          <w:bCs/>
          <w:sz w:val="22"/>
        </w:rPr>
        <w:t>Career Guidance Instructor and Researcher</w:t>
      </w:r>
      <w:r w:rsidRPr="002B3948">
        <w:rPr>
          <w:rFonts w:ascii="Georgia" w:hAnsi="Georgia" w:cs="Times New Roman"/>
          <w:bCs/>
          <w:sz w:val="22"/>
        </w:rPr>
        <w:t>, College of Career Guidance and Development</w:t>
      </w:r>
      <w:r w:rsidRPr="002B3948">
        <w:rPr>
          <w:rFonts w:ascii="Georgia" w:eastAsia="Times New Roman" w:hAnsi="Georgia" w:cs="Times New Roman"/>
          <w:bCs/>
          <w:sz w:val="22"/>
        </w:rPr>
        <w:t xml:space="preserve"> </w:t>
      </w:r>
    </w:p>
    <w:p w14:paraId="6AF5C0CF" w14:textId="77777777" w:rsidR="002B3948" w:rsidRPr="002B3948" w:rsidRDefault="002B3948" w:rsidP="002B3948">
      <w:pPr>
        <w:spacing w:before="60" w:after="0"/>
        <w:jc w:val="center"/>
        <w:rPr>
          <w:rFonts w:ascii="Georgia" w:hAnsi="Georgia"/>
          <w:bCs/>
          <w:sz w:val="22"/>
          <w:szCs w:val="20"/>
        </w:rPr>
      </w:pPr>
      <w:r w:rsidRPr="002B3948">
        <w:rPr>
          <w:rFonts w:ascii="Georgia" w:eastAsia="Times New Roman" w:hAnsi="Georgia" w:cs="Times New Roman"/>
          <w:bCs/>
          <w:sz w:val="22"/>
        </w:rPr>
        <w:t xml:space="preserve"> </w:t>
      </w:r>
      <w:r w:rsidRPr="002B3948">
        <w:rPr>
          <w:rFonts w:ascii="Georgia" w:eastAsia="Times New Roman" w:hAnsi="Georgia" w:cs="Times New Roman"/>
          <w:bCs/>
          <w:sz w:val="22"/>
          <w:vertAlign w:val="superscript"/>
        </w:rPr>
        <w:t>2</w:t>
      </w:r>
      <w:r w:rsidRPr="002B3948">
        <w:rPr>
          <w:rFonts w:ascii="Georgia" w:eastAsia="Times New Roman" w:hAnsi="Georgia" w:cs="Times New Roman"/>
          <w:bCs/>
          <w:sz w:val="22"/>
        </w:rPr>
        <w:t xml:space="preserve">Career Guidance Expert, </w:t>
      </w:r>
      <w:r w:rsidRPr="002B3948">
        <w:rPr>
          <w:rFonts w:ascii="Georgia" w:hAnsi="Georgia" w:cs="Times New Roman"/>
          <w:bCs/>
          <w:sz w:val="22"/>
        </w:rPr>
        <w:t>College of Career Guidance and Development</w:t>
      </w:r>
    </w:p>
    <w:p w14:paraId="70F2BD96" w14:textId="77777777" w:rsidR="002B3948" w:rsidRPr="001C6BC2" w:rsidRDefault="002B3948" w:rsidP="002B3948">
      <w:pPr>
        <w:spacing w:before="60" w:after="0"/>
        <w:jc w:val="center"/>
        <w:rPr>
          <w:rFonts w:eastAsia="Times New Roman" w:cs="Times New Roman"/>
          <w:bCs/>
          <w:szCs w:val="24"/>
        </w:rPr>
      </w:pPr>
      <w:r w:rsidRPr="002B3948">
        <w:rPr>
          <w:rFonts w:ascii="Georgia" w:eastAsia="Times New Roman" w:hAnsi="Georgia" w:cs="Times New Roman"/>
          <w:bCs/>
          <w:sz w:val="22"/>
        </w:rPr>
        <w:t xml:space="preserve">*Corresponding author email: </w:t>
      </w:r>
      <w:hyperlink r:id="rId8" w:history="1">
        <w:r w:rsidRPr="002B3948">
          <w:rPr>
            <w:rStyle w:val="Hyperlink"/>
            <w:rFonts w:ascii="Georgia" w:eastAsia="Times New Roman" w:hAnsi="Georgia" w:cs="Times New Roman"/>
            <w:bCs/>
            <w:sz w:val="22"/>
          </w:rPr>
          <w:t>mercy.gichohi@gmail.com</w:t>
        </w:r>
      </w:hyperlink>
    </w:p>
    <w:p w14:paraId="6509E025" w14:textId="2C6AD0A9" w:rsidR="009E1649" w:rsidRDefault="009E1649" w:rsidP="00670AD5">
      <w:pPr>
        <w:spacing w:before="60" w:after="0"/>
        <w:jc w:val="center"/>
        <w:rPr>
          <w:rFonts w:ascii="Georgia" w:hAnsi="Georgia"/>
          <w:sz w:val="22"/>
          <w:szCs w:val="20"/>
        </w:rPr>
      </w:pPr>
    </w:p>
    <w:p w14:paraId="2FCEB705" w14:textId="77777777" w:rsidR="002B3948" w:rsidRPr="00670AD5" w:rsidRDefault="002B3948" w:rsidP="00670AD5">
      <w:pPr>
        <w:spacing w:before="60" w:after="0"/>
        <w:jc w:val="center"/>
        <w:rPr>
          <w:rFonts w:ascii="Georgia" w:hAnsi="Georgia"/>
          <w:sz w:val="22"/>
          <w:szCs w:val="20"/>
        </w:rPr>
      </w:pPr>
    </w:p>
    <w:p w14:paraId="6A17E079" w14:textId="266823D6" w:rsidR="00424F63" w:rsidRPr="007F3FC2" w:rsidRDefault="007F7282" w:rsidP="007F3FC2">
      <w:pPr>
        <w:jc w:val="center"/>
        <w:rPr>
          <w:rFonts w:ascii="Georgia" w:hAnsi="Georgia"/>
          <w:b/>
          <w:bCs/>
          <w:sz w:val="22"/>
          <w:szCs w:val="20"/>
        </w:rPr>
      </w:pPr>
      <w:r w:rsidRPr="007F200E">
        <w:rPr>
          <w:rFonts w:ascii="Georgia" w:hAnsi="Georgia" w:cs="Times New Roman"/>
          <w:b/>
          <w:bCs/>
          <w:noProof/>
          <w:sz w:val="20"/>
          <w:szCs w:val="20"/>
        </w:rPr>
        <mc:AlternateContent>
          <mc:Choice Requires="wps">
            <w:drawing>
              <wp:anchor distT="0" distB="0" distL="114300" distR="114300" simplePos="0" relativeHeight="251749888" behindDoc="0" locked="0" layoutInCell="1" allowOverlap="1" wp14:anchorId="2F5483C0" wp14:editId="17CF3824">
                <wp:simplePos x="0" y="0"/>
                <wp:positionH relativeFrom="margin">
                  <wp:align>right</wp:align>
                </wp:positionH>
                <wp:positionV relativeFrom="paragraph">
                  <wp:posOffset>211455</wp:posOffset>
                </wp:positionV>
                <wp:extent cx="5702300" cy="19050"/>
                <wp:effectExtent l="0" t="0" r="31750" b="19050"/>
                <wp:wrapNone/>
                <wp:docPr id="7" name="Straight Connector 7"/>
                <wp:cNvGraphicFramePr/>
                <a:graphic xmlns:a="http://schemas.openxmlformats.org/drawingml/2006/main">
                  <a:graphicData uri="http://schemas.microsoft.com/office/word/2010/wordprocessingShape">
                    <wps:wsp>
                      <wps:cNvCnPr/>
                      <wps:spPr>
                        <a:xfrm flipV="1">
                          <a:off x="0" y="0"/>
                          <a:ext cx="5702300" cy="19050"/>
                        </a:xfrm>
                        <a:prstGeom prst="line">
                          <a:avLst/>
                        </a:prstGeom>
                        <a:ln w="19050"/>
                        <a:effectLst>
                          <a:innerShdw blurRad="63500" dist="50800" dir="18900000">
                            <a:prstClr val="black">
                              <a:alpha val="50000"/>
                            </a:prstClr>
                          </a:innerShdw>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C71764" id="Straight Connector 7" o:spid="_x0000_s1026" style="position:absolute;flip:y;z-index:251749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7.8pt,16.65pt" to="846.8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" strokecolor="black [3200]" strokeweight="1.5pt">
                <v:stroke joinstyle="miter"/>
                <w10:wrap anchorx="margin"/>
              </v:line>
            </w:pict>
          </mc:Fallback>
        </mc:AlternateContent>
      </w:r>
      <w:r w:rsidRPr="007F200E">
        <w:rPr>
          <w:rFonts w:ascii="Georgia" w:hAnsi="Georgia"/>
          <w:b/>
          <w:bCs/>
          <w:sz w:val="22"/>
          <w:szCs w:val="20"/>
        </w:rPr>
        <w:t xml:space="preserve">Accepted: </w:t>
      </w:r>
      <w:r w:rsidR="002B3948">
        <w:rPr>
          <w:rFonts w:ascii="Georgia" w:hAnsi="Georgia"/>
          <w:b/>
          <w:bCs/>
          <w:sz w:val="22"/>
          <w:szCs w:val="20"/>
        </w:rPr>
        <w:t>23</w:t>
      </w:r>
      <w:r w:rsidR="00FC28CB">
        <w:rPr>
          <w:rFonts w:ascii="Georgia" w:hAnsi="Georgia"/>
          <w:b/>
          <w:bCs/>
          <w:sz w:val="22"/>
          <w:szCs w:val="20"/>
        </w:rPr>
        <w:t xml:space="preserve"> </w:t>
      </w:r>
      <w:r w:rsidR="00222593">
        <w:rPr>
          <w:rFonts w:ascii="Georgia" w:hAnsi="Georgia"/>
          <w:b/>
          <w:bCs/>
          <w:sz w:val="22"/>
          <w:szCs w:val="20"/>
        </w:rPr>
        <w:t>M</w:t>
      </w:r>
      <w:r w:rsidR="002B3948">
        <w:rPr>
          <w:rFonts w:ascii="Georgia" w:hAnsi="Georgia"/>
          <w:b/>
          <w:bCs/>
          <w:sz w:val="22"/>
          <w:szCs w:val="20"/>
        </w:rPr>
        <w:t>arch</w:t>
      </w:r>
      <w:r w:rsidR="00222593">
        <w:rPr>
          <w:rFonts w:ascii="Georgia" w:hAnsi="Georgia"/>
          <w:b/>
          <w:bCs/>
          <w:sz w:val="22"/>
          <w:szCs w:val="20"/>
        </w:rPr>
        <w:t xml:space="preserve"> </w:t>
      </w:r>
      <w:r w:rsidRPr="007F200E">
        <w:rPr>
          <w:rFonts w:ascii="Georgia" w:hAnsi="Georgia"/>
          <w:b/>
          <w:bCs/>
          <w:sz w:val="22"/>
          <w:szCs w:val="20"/>
        </w:rPr>
        <w:t>202</w:t>
      </w:r>
      <w:r w:rsidR="00F467E2">
        <w:rPr>
          <w:rFonts w:ascii="Georgia" w:hAnsi="Georgia"/>
          <w:b/>
          <w:bCs/>
          <w:sz w:val="22"/>
          <w:szCs w:val="20"/>
        </w:rPr>
        <w:t>6</w:t>
      </w:r>
      <w:r w:rsidRPr="007F200E">
        <w:rPr>
          <w:rFonts w:ascii="Georgia" w:hAnsi="Georgia"/>
          <w:b/>
          <w:bCs/>
          <w:sz w:val="22"/>
          <w:szCs w:val="20"/>
        </w:rPr>
        <w:t xml:space="preserve"> || Published:</w:t>
      </w:r>
      <w:r w:rsidR="0013598C">
        <w:rPr>
          <w:rFonts w:ascii="Georgia" w:hAnsi="Georgia"/>
          <w:b/>
          <w:bCs/>
          <w:sz w:val="22"/>
          <w:szCs w:val="20"/>
        </w:rPr>
        <w:t xml:space="preserve"> </w:t>
      </w:r>
      <w:r w:rsidR="00222593">
        <w:rPr>
          <w:rFonts w:ascii="Georgia" w:hAnsi="Georgia"/>
          <w:b/>
          <w:bCs/>
          <w:sz w:val="22"/>
          <w:szCs w:val="20"/>
        </w:rPr>
        <w:t>01</w:t>
      </w:r>
      <w:r w:rsidR="00FC28CB">
        <w:rPr>
          <w:rFonts w:ascii="Georgia" w:hAnsi="Georgia"/>
          <w:b/>
          <w:bCs/>
          <w:sz w:val="22"/>
          <w:szCs w:val="20"/>
        </w:rPr>
        <w:t xml:space="preserve"> </w:t>
      </w:r>
      <w:r w:rsidR="00222593">
        <w:rPr>
          <w:rFonts w:ascii="Georgia" w:hAnsi="Georgia"/>
          <w:b/>
          <w:bCs/>
          <w:sz w:val="22"/>
          <w:szCs w:val="20"/>
        </w:rPr>
        <w:t>June</w:t>
      </w:r>
      <w:r w:rsidR="00871491">
        <w:rPr>
          <w:rFonts w:ascii="Georgia" w:hAnsi="Georgia"/>
          <w:b/>
          <w:bCs/>
          <w:sz w:val="22"/>
          <w:szCs w:val="20"/>
        </w:rPr>
        <w:t xml:space="preserve"> </w:t>
      </w:r>
      <w:r w:rsidRPr="007F200E">
        <w:rPr>
          <w:rFonts w:ascii="Georgia" w:hAnsi="Georgia"/>
          <w:b/>
          <w:bCs/>
          <w:sz w:val="22"/>
          <w:szCs w:val="20"/>
        </w:rPr>
        <w:t>202</w:t>
      </w:r>
      <w:r w:rsidR="00F467E2">
        <w:rPr>
          <w:rFonts w:ascii="Georgia" w:hAnsi="Georgia"/>
          <w:b/>
          <w:bCs/>
          <w:sz w:val="22"/>
          <w:szCs w:val="20"/>
        </w:rPr>
        <w:t>6</w:t>
      </w:r>
    </w:p>
    <w:p w14:paraId="6DDD07C4" w14:textId="65D9CF91" w:rsidR="009366AD" w:rsidRDefault="007F7282" w:rsidP="0033289C">
      <w:pPr>
        <w:rPr>
          <w:rFonts w:cs="Times New Roman"/>
          <w:b/>
          <w:bCs/>
        </w:rPr>
      </w:pPr>
      <w:r w:rsidRPr="00F3291D">
        <w:rPr>
          <w:rFonts w:cs="Times New Roman"/>
          <w:b/>
          <w:bCs/>
        </w:rPr>
        <w:t>Abstract</w:t>
      </w:r>
    </w:p>
    <w:p w14:paraId="1903357C" w14:textId="77777777" w:rsidR="002B3948" w:rsidRDefault="002B3948" w:rsidP="002B3948">
      <w:pPr>
        <w:rPr>
          <w:rFonts w:eastAsia="Times New Roman" w:cs="Times New Roman"/>
          <w:szCs w:val="24"/>
        </w:rPr>
      </w:pPr>
      <w:r w:rsidRPr="00315938">
        <w:rPr>
          <w:rFonts w:eastAsia="Times New Roman" w:cs="Times New Roman"/>
          <w:szCs w:val="24"/>
        </w:rPr>
        <w:t xml:space="preserve">The implementation of Kenya’s Competency-Based Education (CBE) has intensified the demand for effective career guidance in both junior and senior schools. Teachers play a central role in supporting learners’ career planning and transitions; however, their preparedness for this responsibility remains unclear. This study examined teachers’ awareness, participation, perceived value, barriers, and motivators related to Career Guidance and Development (CGD) training in Kenya. Using a mixed-methods approach, data were collected from 149 junior and senior school teachers across 35 counties. Descriptive analysis revealed high awareness of CGD training (73%) but low participation, with over half of respondents having received no formal CGD training. Most teachers reported limited knowledge of CGD despite overwhelming agreement on the need for such training. Key barriers included training costs, lack of recognition by the Teachers Service Commission (TSC) and Ministry of Education, workload-related time constraints, and limited institutional support. Major motivators for enrollment were prospects of promotion, improved remuneration, and the opportunity to positively influence learners’ career outcomes. Teachers expressed strong interest in CGD qualifications, particularly short-term micro-credentials delivered through blended or online modalities. The study concludes that while demand for CGD training is substantial, systemic barriers constrain participation. Policy alignment, institutional recognition, flexible training pathways, and financial support mechanisms are essential </w:t>
      </w:r>
      <w:r>
        <w:rPr>
          <w:rFonts w:eastAsia="Times New Roman" w:cs="Times New Roman"/>
          <w:szCs w:val="24"/>
        </w:rPr>
        <w:t>for sustaining teacher engagement in CGD and strengthening</w:t>
      </w:r>
      <w:r w:rsidRPr="00315938">
        <w:rPr>
          <w:rFonts w:eastAsia="Times New Roman" w:cs="Times New Roman"/>
          <w:szCs w:val="24"/>
        </w:rPr>
        <w:t xml:space="preserve"> learner transitions under CBE.</w:t>
      </w:r>
    </w:p>
    <w:p w14:paraId="1E2C9930" w14:textId="0699F9D7" w:rsidR="00222593" w:rsidRPr="002B3948" w:rsidRDefault="002B3948" w:rsidP="002B3948">
      <w:pPr>
        <w:rPr>
          <w:rFonts w:eastAsia="Times New Roman" w:cs="Times New Roman"/>
          <w:sz w:val="22"/>
        </w:rPr>
      </w:pPr>
      <w:r w:rsidRPr="00774D00">
        <w:rPr>
          <w:noProof/>
          <w:sz w:val="16"/>
          <w:szCs w:val="16"/>
        </w:rPr>
        <mc:AlternateContent>
          <mc:Choice Requires="wps">
            <w:drawing>
              <wp:anchor distT="45720" distB="45720" distL="114300" distR="114300" simplePos="0" relativeHeight="251751936" behindDoc="0" locked="0" layoutInCell="1" allowOverlap="1" wp14:anchorId="3A75318B" wp14:editId="6BA3D11B">
                <wp:simplePos x="0" y="0"/>
                <wp:positionH relativeFrom="margin">
                  <wp:align>right</wp:align>
                </wp:positionH>
                <wp:positionV relativeFrom="paragraph">
                  <wp:posOffset>391795</wp:posOffset>
                </wp:positionV>
                <wp:extent cx="5721350" cy="622300"/>
                <wp:effectExtent l="0" t="0" r="12700" b="25400"/>
                <wp:wrapSquare wrapText="bothSides"/>
                <wp:docPr id="1969580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622300"/>
                        </a:xfrm>
                        <a:prstGeom prst="rect">
                          <a:avLst/>
                        </a:prstGeom>
                        <a:solidFill>
                          <a:schemeClr val="bg1">
                            <a:lumMod val="65000"/>
                          </a:schemeClr>
                        </a:solidFill>
                        <a:ln w="9525">
                          <a:solidFill>
                            <a:srgbClr val="000000"/>
                          </a:solidFill>
                          <a:miter lim="800000"/>
                          <a:headEnd/>
                          <a:tailEnd/>
                        </a:ln>
                      </wps:spPr>
                      <wps:txbx>
                        <w:txbxContent>
                          <w:p w14:paraId="23FC0221" w14:textId="4A086CCA" w:rsidR="007F7282" w:rsidRPr="002B3948" w:rsidRDefault="007F7282" w:rsidP="00E86DE7">
                            <w:pPr>
                              <w:rPr>
                                <w:rFonts w:cs="Times New Roman"/>
                                <w:b/>
                                <w:sz w:val="20"/>
                                <w:szCs w:val="20"/>
                              </w:rPr>
                            </w:pPr>
                            <w:r w:rsidRPr="002A04D3">
                              <w:rPr>
                                <w:b/>
                                <w:bCs/>
                                <w:sz w:val="20"/>
                                <w:szCs w:val="20"/>
                              </w:rPr>
                              <w:t>How to Cite:</w:t>
                            </w:r>
                            <w:r w:rsidR="00661113" w:rsidRPr="002A04D3">
                              <w:rPr>
                                <w:bCs/>
                                <w:sz w:val="20"/>
                                <w:szCs w:val="20"/>
                                <w:lang w:val="en-GB"/>
                              </w:rPr>
                              <w:t xml:space="preserve"> </w:t>
                            </w:r>
                            <w:r w:rsidR="002B3948" w:rsidRPr="002B3948">
                              <w:rPr>
                                <w:rFonts w:eastAsia="Times New Roman" w:cs="Times New Roman"/>
                                <w:bCs/>
                                <w:sz w:val="20"/>
                                <w:szCs w:val="20"/>
                              </w:rPr>
                              <w:t>Maina, M., &amp; Waithaka, M. (2026).</w:t>
                            </w:r>
                            <w:r w:rsidR="002B3948" w:rsidRPr="002B3948">
                              <w:rPr>
                                <w:rFonts w:cs="Times New Roman"/>
                                <w:b/>
                                <w:sz w:val="20"/>
                                <w:szCs w:val="20"/>
                              </w:rPr>
                              <w:t xml:space="preserve"> </w:t>
                            </w:r>
                            <w:r w:rsidR="002B3948" w:rsidRPr="002B3948">
                              <w:rPr>
                                <w:rFonts w:cs="Times New Roman"/>
                                <w:bCs/>
                                <w:sz w:val="20"/>
                                <w:szCs w:val="20"/>
                              </w:rPr>
                              <w:t>Teachers’ Perspectives on Career Guidance and Development Training in Kenya: Implications for Competency-Based Education Implementation</w:t>
                            </w:r>
                            <w:r w:rsidR="002A04D3" w:rsidRPr="002A04D3">
                              <w:rPr>
                                <w:sz w:val="20"/>
                                <w:szCs w:val="20"/>
                              </w:rPr>
                              <w:t>.</w:t>
                            </w:r>
                            <w:r w:rsidR="00000DFA" w:rsidRPr="002A04D3">
                              <w:rPr>
                                <w:sz w:val="20"/>
                                <w:szCs w:val="20"/>
                              </w:rPr>
                              <w:t xml:space="preserve"> </w:t>
                            </w:r>
                            <w:r w:rsidRPr="002A04D3">
                              <w:rPr>
                                <w:i/>
                                <w:iCs/>
                                <w:sz w:val="20"/>
                                <w:szCs w:val="20"/>
                              </w:rPr>
                              <w:t>Journal of Education,</w:t>
                            </w:r>
                            <w:r w:rsidRPr="002A04D3">
                              <w:rPr>
                                <w:sz w:val="20"/>
                                <w:szCs w:val="20"/>
                              </w:rPr>
                              <w:t xml:space="preserve"> </w:t>
                            </w:r>
                            <w:r w:rsidR="00F467E2" w:rsidRPr="002A04D3">
                              <w:rPr>
                                <w:i/>
                                <w:iCs/>
                                <w:sz w:val="20"/>
                                <w:szCs w:val="20"/>
                              </w:rPr>
                              <w:t>6</w:t>
                            </w:r>
                            <w:r w:rsidRPr="002A04D3">
                              <w:rPr>
                                <w:sz w:val="20"/>
                                <w:szCs w:val="20"/>
                              </w:rPr>
                              <w:t>(</w:t>
                            </w:r>
                            <w:r w:rsidR="00FC28CB">
                              <w:rPr>
                                <w:sz w:val="20"/>
                                <w:szCs w:val="20"/>
                              </w:rPr>
                              <w:t>3</w:t>
                            </w:r>
                            <w:r w:rsidRPr="002A04D3">
                              <w:rPr>
                                <w:sz w:val="20"/>
                                <w:szCs w:val="20"/>
                              </w:rPr>
                              <w:t xml:space="preserve">), </w:t>
                            </w:r>
                            <w:r w:rsidR="002B3948">
                              <w:rPr>
                                <w:sz w:val="20"/>
                                <w:szCs w:val="20"/>
                              </w:rPr>
                              <w:t>6</w:t>
                            </w:r>
                            <w:r w:rsidR="00222593">
                              <w:rPr>
                                <w:sz w:val="20"/>
                                <w:szCs w:val="20"/>
                              </w:rPr>
                              <w:t>2</w:t>
                            </w:r>
                            <w:r w:rsidRPr="002A04D3">
                              <w:rPr>
                                <w:sz w:val="20"/>
                                <w:szCs w:val="20"/>
                              </w:rPr>
                              <w:t>-</w:t>
                            </w:r>
                            <w:r w:rsidR="002B3948">
                              <w:rPr>
                                <w:sz w:val="20"/>
                                <w:szCs w:val="20"/>
                              </w:rPr>
                              <w:t>77</w:t>
                            </w:r>
                            <w:r w:rsidR="007C3F85" w:rsidRPr="002A04D3">
                              <w:rPr>
                                <w:sz w:val="20"/>
                                <w:szCs w:val="20"/>
                              </w:rPr>
                              <w:t>.</w:t>
                            </w:r>
                          </w:p>
                          <w:p w14:paraId="0AFD0D22" w14:textId="77777777" w:rsidR="007F7282" w:rsidRPr="0012100B" w:rsidRDefault="007F7282" w:rsidP="007F7282">
                            <w:pPr>
                              <w:rPr>
                                <w:rFonts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75318B" id="_x0000_t202" coordsize="21600,21600" o:spt="202" path="m,l,21600r21600,l21600,xe">
                <v:stroke joinstyle="miter"/>
                <v:path gradientshapeok="t" o:connecttype="rect"/>
              </v:shapetype>
              <v:shape id="Text Box 2" o:spid="_x0000_s1026" type="#_x0000_t202" style="position:absolute;left:0;text-align:left;margin-left:399.3pt;margin-top:30.85pt;width:450.5pt;height:49pt;z-index:251751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" fillcolor="#a5a5a5 [2092]">
                <v:textbox>
                  <w:txbxContent>
                    <w:p w14:paraId="23FC0221" w14:textId="4A086CCA" w:rsidR="007F7282" w:rsidRPr="002B3948" w:rsidRDefault="007F7282" w:rsidP="00E86DE7">
                      <w:pPr>
                        <w:rPr>
                          <w:rFonts w:cs="Times New Roman"/>
                          <w:b/>
                          <w:sz w:val="20"/>
                          <w:szCs w:val="20"/>
                        </w:rPr>
                      </w:pPr>
                      <w:r w:rsidRPr="002A04D3">
                        <w:rPr>
                          <w:b/>
                          <w:bCs/>
                          <w:sz w:val="20"/>
                          <w:szCs w:val="20"/>
                        </w:rPr>
                        <w:t>How to Cite:</w:t>
                      </w:r>
                      <w:r w:rsidR="00661113" w:rsidRPr="002A04D3">
                        <w:rPr>
                          <w:bCs/>
                          <w:sz w:val="20"/>
                          <w:szCs w:val="20"/>
                          <w:lang w:val="en-GB"/>
                        </w:rPr>
                        <w:t xml:space="preserve"> </w:t>
                      </w:r>
                      <w:r w:rsidR="002B3948" w:rsidRPr="002B3948">
                        <w:rPr>
                          <w:rFonts w:eastAsia="Times New Roman" w:cs="Times New Roman"/>
                          <w:bCs/>
                          <w:sz w:val="20"/>
                          <w:szCs w:val="20"/>
                        </w:rPr>
                        <w:t>Maina, M., &amp; Waithaka, M. (2026).</w:t>
                      </w:r>
                      <w:r w:rsidR="002B3948" w:rsidRPr="002B3948">
                        <w:rPr>
                          <w:rFonts w:cs="Times New Roman"/>
                          <w:b/>
                          <w:sz w:val="20"/>
                          <w:szCs w:val="20"/>
                        </w:rPr>
                        <w:t xml:space="preserve"> </w:t>
                      </w:r>
                      <w:r w:rsidR="002B3948" w:rsidRPr="002B3948">
                        <w:rPr>
                          <w:rFonts w:cs="Times New Roman"/>
                          <w:bCs/>
                          <w:sz w:val="20"/>
                          <w:szCs w:val="20"/>
                        </w:rPr>
                        <w:t>Teachers’ Perspectives on Career Guidance and Development Training in Kenya: Implications for Competency-Based Education Implementation</w:t>
                      </w:r>
                      <w:r w:rsidR="002A04D3" w:rsidRPr="002A04D3">
                        <w:rPr>
                          <w:sz w:val="20"/>
                          <w:szCs w:val="20"/>
                        </w:rPr>
                        <w:t>.</w:t>
                      </w:r>
                      <w:r w:rsidR="00000DFA" w:rsidRPr="002A04D3">
                        <w:rPr>
                          <w:sz w:val="20"/>
                          <w:szCs w:val="20"/>
                        </w:rPr>
                        <w:t xml:space="preserve"> </w:t>
                      </w:r>
                      <w:r w:rsidRPr="002A04D3">
                        <w:rPr>
                          <w:i/>
                          <w:iCs/>
                          <w:sz w:val="20"/>
                          <w:szCs w:val="20"/>
                        </w:rPr>
                        <w:t>Journal of Education,</w:t>
                      </w:r>
                      <w:r w:rsidRPr="002A04D3">
                        <w:rPr>
                          <w:sz w:val="20"/>
                          <w:szCs w:val="20"/>
                        </w:rPr>
                        <w:t xml:space="preserve"> </w:t>
                      </w:r>
                      <w:r w:rsidR="00F467E2" w:rsidRPr="002A04D3">
                        <w:rPr>
                          <w:i/>
                          <w:iCs/>
                          <w:sz w:val="20"/>
                          <w:szCs w:val="20"/>
                        </w:rPr>
                        <w:t>6</w:t>
                      </w:r>
                      <w:r w:rsidRPr="002A04D3">
                        <w:rPr>
                          <w:sz w:val="20"/>
                          <w:szCs w:val="20"/>
                        </w:rPr>
                        <w:t>(</w:t>
                      </w:r>
                      <w:r w:rsidR="00FC28CB">
                        <w:rPr>
                          <w:sz w:val="20"/>
                          <w:szCs w:val="20"/>
                        </w:rPr>
                        <w:t>3</w:t>
                      </w:r>
                      <w:r w:rsidRPr="002A04D3">
                        <w:rPr>
                          <w:sz w:val="20"/>
                          <w:szCs w:val="20"/>
                        </w:rPr>
                        <w:t xml:space="preserve">), </w:t>
                      </w:r>
                      <w:r w:rsidR="002B3948">
                        <w:rPr>
                          <w:sz w:val="20"/>
                          <w:szCs w:val="20"/>
                        </w:rPr>
                        <w:t>6</w:t>
                      </w:r>
                      <w:r w:rsidR="00222593">
                        <w:rPr>
                          <w:sz w:val="20"/>
                          <w:szCs w:val="20"/>
                        </w:rPr>
                        <w:t>2</w:t>
                      </w:r>
                      <w:r w:rsidRPr="002A04D3">
                        <w:rPr>
                          <w:sz w:val="20"/>
                          <w:szCs w:val="20"/>
                        </w:rPr>
                        <w:t>-</w:t>
                      </w:r>
                      <w:r w:rsidR="002B3948">
                        <w:rPr>
                          <w:sz w:val="20"/>
                          <w:szCs w:val="20"/>
                        </w:rPr>
                        <w:t>77</w:t>
                      </w:r>
                      <w:r w:rsidR="007C3F85" w:rsidRPr="002A04D3">
                        <w:rPr>
                          <w:sz w:val="20"/>
                          <w:szCs w:val="20"/>
                        </w:rPr>
                        <w:t>.</w:t>
                      </w:r>
                    </w:p>
                    <w:p w14:paraId="0AFD0D22" w14:textId="77777777" w:rsidR="007F7282" w:rsidRPr="0012100B" w:rsidRDefault="007F7282" w:rsidP="007F7282">
                      <w:pPr>
                        <w:rPr>
                          <w:rFonts w:cs="Times New Roman"/>
                          <w:sz w:val="20"/>
                          <w:szCs w:val="20"/>
                        </w:rPr>
                      </w:pPr>
                    </w:p>
                  </w:txbxContent>
                </v:textbox>
                <w10:wrap type="square" anchorx="margin"/>
              </v:shape>
            </w:pict>
          </mc:Fallback>
        </mc:AlternateContent>
      </w:r>
      <w:r w:rsidRPr="002B3948">
        <w:rPr>
          <w:rFonts w:eastAsia="Times New Roman" w:cs="Times New Roman"/>
          <w:b/>
          <w:bCs/>
          <w:sz w:val="22"/>
        </w:rPr>
        <w:t>Keywords:</w:t>
      </w:r>
      <w:r w:rsidRPr="002B3948">
        <w:rPr>
          <w:rFonts w:eastAsia="Times New Roman" w:cs="Times New Roman"/>
          <w:sz w:val="22"/>
        </w:rPr>
        <w:t xml:space="preserve"> </w:t>
      </w:r>
      <w:r w:rsidRPr="002B3948">
        <w:rPr>
          <w:rFonts w:eastAsia="Times New Roman" w:cs="Times New Roman"/>
          <w:i/>
          <w:iCs/>
          <w:sz w:val="22"/>
        </w:rPr>
        <w:t>Career guidance and development</w:t>
      </w:r>
      <w:r>
        <w:rPr>
          <w:rFonts w:eastAsia="Times New Roman" w:cs="Times New Roman"/>
          <w:i/>
          <w:iCs/>
          <w:sz w:val="22"/>
        </w:rPr>
        <w:t xml:space="preserve">, </w:t>
      </w:r>
      <w:r w:rsidRPr="002B3948">
        <w:rPr>
          <w:rFonts w:eastAsia="Times New Roman" w:cs="Times New Roman"/>
          <w:i/>
          <w:iCs/>
          <w:sz w:val="22"/>
        </w:rPr>
        <w:t>teachers</w:t>
      </w:r>
      <w:r>
        <w:rPr>
          <w:rFonts w:eastAsia="Times New Roman" w:cs="Times New Roman"/>
          <w:i/>
          <w:iCs/>
          <w:sz w:val="22"/>
        </w:rPr>
        <w:t xml:space="preserve">, </w:t>
      </w:r>
      <w:r w:rsidRPr="002B3948">
        <w:rPr>
          <w:rFonts w:eastAsia="Times New Roman" w:cs="Times New Roman"/>
          <w:i/>
          <w:iCs/>
          <w:sz w:val="22"/>
        </w:rPr>
        <w:t>competency-based education</w:t>
      </w:r>
      <w:r>
        <w:rPr>
          <w:rFonts w:eastAsia="Times New Roman" w:cs="Times New Roman"/>
          <w:i/>
          <w:iCs/>
          <w:sz w:val="22"/>
        </w:rPr>
        <w:t>,</w:t>
      </w:r>
      <w:r w:rsidRPr="002B3948">
        <w:rPr>
          <w:rFonts w:eastAsia="Times New Roman" w:cs="Times New Roman"/>
          <w:i/>
          <w:iCs/>
          <w:sz w:val="22"/>
        </w:rPr>
        <w:t xml:space="preserve"> professional development</w:t>
      </w:r>
      <w:r>
        <w:rPr>
          <w:rFonts w:eastAsia="Times New Roman" w:cs="Times New Roman"/>
          <w:i/>
          <w:iCs/>
          <w:sz w:val="22"/>
        </w:rPr>
        <w:t>,</w:t>
      </w:r>
      <w:r w:rsidRPr="002B3948">
        <w:rPr>
          <w:rFonts w:eastAsia="Times New Roman" w:cs="Times New Roman"/>
          <w:i/>
          <w:iCs/>
          <w:sz w:val="22"/>
        </w:rPr>
        <w:t xml:space="preserve"> Kenya</w:t>
      </w:r>
    </w:p>
    <w:p w14:paraId="772125E5" w14:textId="0F606035" w:rsidR="002B3948" w:rsidRPr="002B3948" w:rsidRDefault="002B3948" w:rsidP="002B3948">
      <w:pPr>
        <w:spacing w:line="259" w:lineRule="auto"/>
        <w:contextualSpacing/>
        <w:jc w:val="left"/>
        <w:rPr>
          <w:rFonts w:cs="Times New Roman"/>
          <w:b/>
          <w:szCs w:val="24"/>
        </w:rPr>
      </w:pPr>
      <w:r>
        <w:rPr>
          <w:rFonts w:cs="Times New Roman"/>
          <w:b/>
          <w:szCs w:val="24"/>
        </w:rPr>
        <w:t xml:space="preserve">1. </w:t>
      </w:r>
      <w:r w:rsidRPr="002B3948">
        <w:rPr>
          <w:rFonts w:cs="Times New Roman"/>
          <w:b/>
          <w:szCs w:val="24"/>
        </w:rPr>
        <w:t>Introduction</w:t>
      </w:r>
    </w:p>
    <w:p w14:paraId="4DB7B761" w14:textId="77777777" w:rsidR="002B3948" w:rsidRPr="006E353C" w:rsidRDefault="002B3948" w:rsidP="002B3948">
      <w:pPr>
        <w:rPr>
          <w:rFonts w:eastAsia="Times New Roman" w:cs="Times New Roman"/>
          <w:szCs w:val="24"/>
        </w:rPr>
      </w:pPr>
      <w:r w:rsidRPr="006E353C">
        <w:rPr>
          <w:rFonts w:eastAsia="Times New Roman" w:cs="Times New Roman"/>
          <w:szCs w:val="24"/>
        </w:rPr>
        <w:t xml:space="preserve">Career Guidance and Development (CGD) </w:t>
      </w:r>
      <w:proofErr w:type="gramStart"/>
      <w:r w:rsidRPr="006E353C">
        <w:rPr>
          <w:rFonts w:eastAsia="Times New Roman" w:cs="Times New Roman"/>
          <w:szCs w:val="24"/>
        </w:rPr>
        <w:t>plays</w:t>
      </w:r>
      <w:proofErr w:type="gramEnd"/>
      <w:r w:rsidRPr="006E353C">
        <w:rPr>
          <w:rFonts w:eastAsia="Times New Roman" w:cs="Times New Roman"/>
          <w:szCs w:val="24"/>
        </w:rPr>
        <w:t xml:space="preserve"> a critical role in </w:t>
      </w:r>
      <w:r>
        <w:rPr>
          <w:rFonts w:eastAsia="Times New Roman" w:cs="Times New Roman"/>
          <w:szCs w:val="24"/>
        </w:rPr>
        <w:t>helping learners understand their interests, abilities, and values as they navigate</w:t>
      </w:r>
      <w:r w:rsidRPr="006E353C">
        <w:rPr>
          <w:rFonts w:eastAsia="Times New Roman" w:cs="Times New Roman"/>
          <w:szCs w:val="24"/>
        </w:rPr>
        <w:t xml:space="preserve"> educational and occupational pathways. Contemporary career guidance extends beyond </w:t>
      </w:r>
      <w:r>
        <w:rPr>
          <w:rFonts w:eastAsia="Times New Roman" w:cs="Times New Roman"/>
          <w:szCs w:val="24"/>
        </w:rPr>
        <w:t>providing</w:t>
      </w:r>
      <w:r w:rsidRPr="006E353C">
        <w:rPr>
          <w:rFonts w:eastAsia="Times New Roman" w:cs="Times New Roman"/>
          <w:szCs w:val="24"/>
        </w:rPr>
        <w:t xml:space="preserve"> occupational information to encompass developmental processes that foster career adaptability, informed decision-making, and successful transitions across the lifespan (Wong et al., 2021; </w:t>
      </w:r>
      <w:r w:rsidRPr="00A40C8F">
        <w:rPr>
          <w:rFonts w:eastAsia="Times New Roman" w:cs="Times New Roman"/>
          <w:szCs w:val="24"/>
        </w:rPr>
        <w:t>Hooley et al.</w:t>
      </w:r>
      <w:r>
        <w:rPr>
          <w:rFonts w:eastAsia="Times New Roman" w:cs="Times New Roman"/>
          <w:szCs w:val="24"/>
        </w:rPr>
        <w:t xml:space="preserve">, </w:t>
      </w:r>
      <w:r w:rsidRPr="006E353C">
        <w:rPr>
          <w:rFonts w:eastAsia="Times New Roman" w:cs="Times New Roman"/>
          <w:szCs w:val="24"/>
        </w:rPr>
        <w:t xml:space="preserve">2024). Within school systems, teachers </w:t>
      </w:r>
      <w:r>
        <w:rPr>
          <w:rFonts w:eastAsia="Times New Roman" w:cs="Times New Roman"/>
          <w:szCs w:val="24"/>
        </w:rPr>
        <w:t xml:space="preserve">play a pivotal role in this process, serving as primary sources of </w:t>
      </w:r>
      <w:r>
        <w:rPr>
          <w:rFonts w:eastAsia="Times New Roman" w:cs="Times New Roman"/>
          <w:szCs w:val="24"/>
        </w:rPr>
        <w:lastRenderedPageBreak/>
        <w:t>academic and career support for learners, particularly in contexts where specialized career practitioners are scarce</w:t>
      </w:r>
      <w:r w:rsidRPr="006E353C">
        <w:rPr>
          <w:rFonts w:eastAsia="Times New Roman" w:cs="Times New Roman"/>
          <w:szCs w:val="24"/>
        </w:rPr>
        <w:t>.</w:t>
      </w:r>
    </w:p>
    <w:p w14:paraId="1C02E160" w14:textId="77777777" w:rsidR="002B3948" w:rsidRPr="006E353C" w:rsidRDefault="002B3948" w:rsidP="002B3948">
      <w:pPr>
        <w:rPr>
          <w:rFonts w:eastAsia="Times New Roman" w:cs="Times New Roman"/>
          <w:szCs w:val="24"/>
        </w:rPr>
      </w:pPr>
      <w:r w:rsidRPr="006E353C">
        <w:rPr>
          <w:rFonts w:eastAsia="Times New Roman" w:cs="Times New Roman"/>
          <w:szCs w:val="24"/>
        </w:rPr>
        <w:t>Empirical evidence demonstrates that teachers significantly influence students’ career aspirations, subject choices, and post-school transitions. Wong et al. (2021) emphasize that teachers contribute to career development through instructional practices, mentoring relationships, and informal guidance interactions. In Kenya, Sarah et al. (2019) similarly found that structured career guidance services positively affect students’ career choices in public secondary schools, underscoring the importance of embedding CGD within everyday school practice.</w:t>
      </w:r>
    </w:p>
    <w:p w14:paraId="358CF140" w14:textId="77777777" w:rsidR="002B3948" w:rsidRPr="006E353C" w:rsidRDefault="002B3948" w:rsidP="002B3948">
      <w:pPr>
        <w:rPr>
          <w:rFonts w:eastAsia="Times New Roman" w:cs="Times New Roman"/>
          <w:szCs w:val="24"/>
        </w:rPr>
      </w:pPr>
      <w:r w:rsidRPr="006E353C">
        <w:rPr>
          <w:rFonts w:eastAsia="Times New Roman" w:cs="Times New Roman"/>
          <w:szCs w:val="24"/>
        </w:rPr>
        <w:t>Despite this recognized importance, many teachers undertake career guidance responsibilities without formal preparation. Systematic reviews indicate that teachers often lack specialized training in CGD and have limited access to sustained professional development opportunities, constraining their capacity to deliver comprehensive and developmentally appropriate guidance (Hooley et al., 2024). While such challenges are documented across multiple African contexts, their manifestation within Kenya’s CBE reform remains underexplored, underscoring the need for national-level empirical evidence.</w:t>
      </w:r>
    </w:p>
    <w:p w14:paraId="7B0FE1C3" w14:textId="77777777" w:rsidR="002B3948" w:rsidRPr="006E353C" w:rsidRDefault="002B3948" w:rsidP="002B3948">
      <w:pPr>
        <w:rPr>
          <w:rFonts w:eastAsia="Times New Roman" w:cs="Times New Roman"/>
          <w:szCs w:val="24"/>
        </w:rPr>
      </w:pPr>
      <w:r w:rsidRPr="006E353C">
        <w:rPr>
          <w:rFonts w:eastAsia="Times New Roman" w:cs="Times New Roman"/>
          <w:szCs w:val="24"/>
        </w:rPr>
        <w:t>In Kenya, the implementation of Competency-Based Education (CBE) has intensified the demand for effective career guidance. Under CBE, learners are required to make subject and pathway choices earlier in their educational trajectories, particularly at junior and senior school levels. This shift places increased responsibility on teachers to support informed decision-making and learner transitions. However, CGD is not systematically embedded in pre-service teacher education, leaving in-service training as the primary avenue for developing career guidance competencies.</w:t>
      </w:r>
    </w:p>
    <w:p w14:paraId="2B54FAEA" w14:textId="77777777" w:rsidR="002B3948" w:rsidRPr="006E353C" w:rsidRDefault="002B3948" w:rsidP="002B3948">
      <w:pPr>
        <w:rPr>
          <w:rFonts w:eastAsia="Times New Roman" w:cs="Times New Roman"/>
          <w:szCs w:val="24"/>
        </w:rPr>
      </w:pPr>
      <w:r w:rsidRPr="006E353C">
        <w:rPr>
          <w:rFonts w:eastAsia="Times New Roman" w:cs="Times New Roman"/>
          <w:szCs w:val="24"/>
        </w:rPr>
        <w:t xml:space="preserve">Although international and regional studies provide important insights into teacher competencies and structural barriers, national-level evidence on Kenyan teachers’ engagement with CGD training within the CBE context remains limited. In particular, there is a paucity of empirical data examining teachers’ awareness of CGD, participation in training, perceived benefits, barriers to engagement, and motivators for enrollment. Addressing this gap is essential </w:t>
      </w:r>
      <w:r>
        <w:rPr>
          <w:rFonts w:eastAsia="Times New Roman" w:cs="Times New Roman"/>
          <w:szCs w:val="24"/>
        </w:rPr>
        <w:t xml:space="preserve">to inform policy and strengthen teacher capacity to support </w:t>
      </w:r>
      <w:r w:rsidRPr="006E353C">
        <w:rPr>
          <w:rFonts w:eastAsia="Times New Roman" w:cs="Times New Roman"/>
          <w:szCs w:val="24"/>
        </w:rPr>
        <w:t>learner transitions.</w:t>
      </w:r>
    </w:p>
    <w:p w14:paraId="762AAD42" w14:textId="77777777" w:rsidR="002B3948" w:rsidRPr="006E353C" w:rsidRDefault="002B3948" w:rsidP="002B3948">
      <w:pPr>
        <w:rPr>
          <w:rFonts w:cs="Times New Roman"/>
          <w:b/>
          <w:szCs w:val="24"/>
        </w:rPr>
      </w:pPr>
      <w:r w:rsidRPr="006E353C">
        <w:rPr>
          <w:rFonts w:eastAsia="Times New Roman" w:cs="Times New Roman"/>
          <w:szCs w:val="24"/>
        </w:rPr>
        <w:t>Against this backdrop, the present study examines Kenyan junior and senior school teachers’ perspectives on Career Guidance and Development training, focusing on awareness, participation, perceived value, barriers, and motivators. By providing national-level evidence, the study seeks to inform policy and practice aimed at institutionalizing CGD as a core component of junior and senior school education and strengthening CBE implementation through enhanced teacher capacity.</w:t>
      </w:r>
    </w:p>
    <w:p w14:paraId="5E45BD67" w14:textId="6301FD3C" w:rsidR="002B3948" w:rsidRPr="002B3948" w:rsidRDefault="002B3948" w:rsidP="002B3948">
      <w:pPr>
        <w:contextualSpacing/>
        <w:jc w:val="left"/>
        <w:rPr>
          <w:rFonts w:cs="Times New Roman"/>
          <w:b/>
          <w:szCs w:val="24"/>
        </w:rPr>
      </w:pPr>
      <w:r>
        <w:rPr>
          <w:rFonts w:cs="Times New Roman"/>
          <w:b/>
          <w:szCs w:val="24"/>
        </w:rPr>
        <w:t xml:space="preserve">2. </w:t>
      </w:r>
      <w:r w:rsidRPr="002B3948">
        <w:rPr>
          <w:rFonts w:cs="Times New Roman"/>
          <w:b/>
          <w:szCs w:val="24"/>
        </w:rPr>
        <w:t>Literature Review</w:t>
      </w:r>
    </w:p>
    <w:p w14:paraId="347FFF25" w14:textId="77777777" w:rsidR="002B3948" w:rsidRPr="00001760" w:rsidRDefault="002B3948" w:rsidP="002B3948">
      <w:pPr>
        <w:rPr>
          <w:rFonts w:cs="Times New Roman"/>
          <w:b/>
          <w:szCs w:val="24"/>
        </w:rPr>
      </w:pPr>
      <w:r>
        <w:rPr>
          <w:rFonts w:cs="Times New Roman"/>
          <w:b/>
          <w:szCs w:val="24"/>
        </w:rPr>
        <w:t xml:space="preserve">2.1 </w:t>
      </w:r>
      <w:r w:rsidRPr="00001760">
        <w:rPr>
          <w:rFonts w:cs="Times New Roman"/>
          <w:b/>
          <w:szCs w:val="24"/>
        </w:rPr>
        <w:t>Career Guidance and Development in Education</w:t>
      </w:r>
      <w:r>
        <w:rPr>
          <w:rFonts w:cs="Times New Roman"/>
          <w:b/>
          <w:szCs w:val="24"/>
        </w:rPr>
        <w:t xml:space="preserve"> Systems</w:t>
      </w:r>
    </w:p>
    <w:p w14:paraId="2D6C0968" w14:textId="77777777" w:rsidR="002B3948" w:rsidRPr="006E7585" w:rsidRDefault="002B3948" w:rsidP="002B3948">
      <w:pPr>
        <w:pStyle w:val="NormalWeb"/>
      </w:pPr>
      <w:r w:rsidRPr="006E7585">
        <w:t>Career guidance and development (CGD) is widely recognized as a critical component of education</w:t>
      </w:r>
      <w:r>
        <w:t xml:space="preserve"> systems</w:t>
      </w:r>
      <w:r w:rsidRPr="006E7585">
        <w:t>, supporting learners to understand their interests, abilities, and values while navigating educational and occupational pathways. Contemporary career guidance extends beyond one-time occupational information to encompass developmental processes that help learners build career adaptability, decision-making skills, and future orientation. Within school contexts, teachers play a central role in delivering or facilitating these services, particularly in systems where dedicated career practitioners are limited.</w:t>
      </w:r>
    </w:p>
    <w:p w14:paraId="24B1A1E4" w14:textId="77777777" w:rsidR="002B3948" w:rsidRPr="006E7585" w:rsidRDefault="002B3948" w:rsidP="002B3948">
      <w:pPr>
        <w:pStyle w:val="NormalWeb"/>
      </w:pPr>
      <w:r w:rsidRPr="006E7585">
        <w:lastRenderedPageBreak/>
        <w:t xml:space="preserve">Empirical evidence consistently demonstrates that teacher support significantly influences </w:t>
      </w:r>
      <w:r>
        <w:t>learners</w:t>
      </w:r>
      <w:r w:rsidRPr="006E7585">
        <w:t xml:space="preserve">’ career aspirations, subject choices, and post-secondary transitions. Wong et al. (2021) highlight that teachers contribute to career development through instructional practices, mentoring relationships, and informal guidance interactions, positioning them as key proximal agents in </w:t>
      </w:r>
      <w:r>
        <w:t>learner</w:t>
      </w:r>
      <w:r w:rsidRPr="006E7585">
        <w:t xml:space="preserve">s’ career planning. Similarly, Sarah et al. (2019) found that structured career guidance services in Kenyan public secondary schools positively affected </w:t>
      </w:r>
      <w:r>
        <w:t>learners</w:t>
      </w:r>
      <w:r w:rsidRPr="006E7585">
        <w:t>’ career choices, underscoring the importance of embedding CGD within everyday school practices.</w:t>
      </w:r>
    </w:p>
    <w:p w14:paraId="4D9C69C4" w14:textId="77777777" w:rsidR="002B3948" w:rsidRPr="006E7585" w:rsidRDefault="002B3948" w:rsidP="002B3948">
      <w:pPr>
        <w:pStyle w:val="NormalWeb"/>
      </w:pPr>
      <w:r w:rsidRPr="006E7585">
        <w:t xml:space="preserve">However, the effectiveness of teacher-led career guidance </w:t>
      </w:r>
      <w:r>
        <w:t xml:space="preserve">largely depends on teachers’ </w:t>
      </w:r>
      <w:r w:rsidRPr="006E7585">
        <w:t xml:space="preserve">competencies, confidence, and professional preparation. Hooley et al. (2024) emphasize that career guidance requires specialized knowledge, including understanding labor market trends, developmental psychology, and </w:t>
      </w:r>
      <w:r>
        <w:t xml:space="preserve">career </w:t>
      </w:r>
      <w:r w:rsidRPr="006E7585">
        <w:t xml:space="preserve">guidance methodologies. Without targeted preparation, teachers often rely on personal experience or limited information when advising learners, </w:t>
      </w:r>
      <w:r>
        <w:t>resulting</w:t>
      </w:r>
      <w:r w:rsidRPr="006E7585">
        <w:t xml:space="preserve"> in fragmented or inconsistent guidance.</w:t>
      </w:r>
    </w:p>
    <w:p w14:paraId="0492580D" w14:textId="77777777" w:rsidR="002B3948" w:rsidRPr="00001760" w:rsidRDefault="002B3948" w:rsidP="002B3948">
      <w:pPr>
        <w:rPr>
          <w:rFonts w:cs="Times New Roman"/>
          <w:b/>
          <w:szCs w:val="24"/>
        </w:rPr>
      </w:pPr>
      <w:r w:rsidRPr="00001760">
        <w:rPr>
          <w:rFonts w:cs="Times New Roman"/>
          <w:b/>
          <w:szCs w:val="24"/>
        </w:rPr>
        <w:t>2.2 Teachers’ Competencies and Professional Preparation for Career Guidance</w:t>
      </w:r>
    </w:p>
    <w:p w14:paraId="7D48A803" w14:textId="77777777" w:rsidR="002B3948" w:rsidRPr="006E7585" w:rsidRDefault="002B3948" w:rsidP="002B3948">
      <w:pPr>
        <w:pStyle w:val="NormalWeb"/>
      </w:pPr>
      <w:r w:rsidRPr="006E7585">
        <w:t xml:space="preserve">Globally, research indicates that many teachers undertake career guidance responsibilities without formal training. </w:t>
      </w:r>
      <w:bookmarkStart w:id="0" w:name="_Hlk220444790"/>
      <w:r w:rsidRPr="006E7585">
        <w:t xml:space="preserve">Hooley et al. (2024) </w:t>
      </w:r>
      <w:bookmarkEnd w:id="0"/>
      <w:r w:rsidRPr="006E7585">
        <w:t xml:space="preserve">observe that teachers are frequently expected to provide career support alongside their instructional duties, despite having minimal exposure to CGD during pre-service education. This lack of preparation constrains their ability to deliver comprehensive and developmentally appropriate </w:t>
      </w:r>
      <w:r>
        <w:t xml:space="preserve">career </w:t>
      </w:r>
      <w:r w:rsidRPr="006E7585">
        <w:t>guidance.</w:t>
      </w:r>
    </w:p>
    <w:p w14:paraId="67626B41" w14:textId="77777777" w:rsidR="002B3948" w:rsidRPr="006E7585" w:rsidRDefault="002B3948" w:rsidP="002B3948">
      <w:pPr>
        <w:pStyle w:val="NormalWeb"/>
      </w:pPr>
      <w:r w:rsidRPr="006E7585">
        <w:t xml:space="preserve">In response to these gaps, recent studies have emphasized the importance of structured CGD training for teachers. Bersan et al. (2024) demonstrated that targeted training initiatives significantly enhance teachers’ career guidance competencies, enabling them to integrate career learning into subject teaching and student mentoring. Trained teachers </w:t>
      </w:r>
      <w:r>
        <w:t>are</w:t>
      </w:r>
      <w:r w:rsidRPr="006E7585">
        <w:t xml:space="preserve"> more likely to adopt learner-centered approaches, contextualize academic content within career pathways, and support long-term planning among students.</w:t>
      </w:r>
    </w:p>
    <w:p w14:paraId="45B999AB" w14:textId="77777777" w:rsidR="002B3948" w:rsidRPr="006E7585" w:rsidRDefault="002B3948" w:rsidP="002B3948">
      <w:pPr>
        <w:pStyle w:val="NormalWeb"/>
      </w:pPr>
      <w:r w:rsidRPr="006E7585">
        <w:t>Professional development in CGD also contributes to broader educational outcomes. Teachers who receive CGD training are better positioned to create learning environments that connect academic content with real-world applications, thereby increasing learner engagement and relevance. Moreover, trained teachers often serve as role models who reinforce positive career attitudes and adaptability, supporting learners to navigate increasingly complex education-to-work transitions.</w:t>
      </w:r>
    </w:p>
    <w:p w14:paraId="7C491507" w14:textId="77777777" w:rsidR="002B3948" w:rsidRPr="006E7585" w:rsidRDefault="002B3948" w:rsidP="002B3948">
      <w:pPr>
        <w:pStyle w:val="NormalWeb"/>
      </w:pPr>
      <w:r w:rsidRPr="006E7585">
        <w:t xml:space="preserve">Despite these documented benefits, access to sustained CGD training remains uneven, particularly in low- and middle-income contexts. Professional learning opportunities are frequently short-term, fragmented, or delivered through ad hoc workshops rather than coherent certification pathways. As a result, teachers’ engagement in CGD professional development tends to be episodic, limiting the depth and durability of </w:t>
      </w:r>
      <w:r>
        <w:t>the competencies acquired</w:t>
      </w:r>
      <w:r w:rsidRPr="006E7585">
        <w:t>.</w:t>
      </w:r>
    </w:p>
    <w:p w14:paraId="1AB89A91" w14:textId="77777777" w:rsidR="002B3948" w:rsidRPr="00001760" w:rsidRDefault="002B3948" w:rsidP="002B3948">
      <w:pPr>
        <w:rPr>
          <w:rFonts w:cs="Times New Roman"/>
          <w:b/>
          <w:szCs w:val="24"/>
        </w:rPr>
      </w:pPr>
      <w:r w:rsidRPr="00001760">
        <w:rPr>
          <w:rFonts w:cs="Times New Roman"/>
          <w:b/>
          <w:szCs w:val="24"/>
        </w:rPr>
        <w:t>2.3 African Context: Structural Constraints and Role Ambiguity</w:t>
      </w:r>
    </w:p>
    <w:p w14:paraId="370E6B3E" w14:textId="77777777" w:rsidR="002B3948" w:rsidRPr="006E7585" w:rsidRDefault="002B3948" w:rsidP="002B3948">
      <w:pPr>
        <w:pStyle w:val="NormalWeb"/>
      </w:pPr>
      <w:r w:rsidRPr="006E7585">
        <w:t xml:space="preserve">Across Sub-Saharan Africa, multiple studies point to systemic challenges that undermine effective career guidance in schools. </w:t>
      </w:r>
      <w:proofErr w:type="spellStart"/>
      <w:r w:rsidRPr="006E7585">
        <w:t>Alloph</w:t>
      </w:r>
      <w:proofErr w:type="spellEnd"/>
      <w:r w:rsidRPr="006E7585">
        <w:t xml:space="preserve"> and </w:t>
      </w:r>
      <w:proofErr w:type="spellStart"/>
      <w:r w:rsidRPr="006E7585">
        <w:t>Msonge</w:t>
      </w:r>
      <w:proofErr w:type="spellEnd"/>
      <w:r w:rsidRPr="006E7585">
        <w:t xml:space="preserve"> (2023), in their study of Tanzanian secondary schools, identified </w:t>
      </w:r>
      <w:r>
        <w:t xml:space="preserve">a </w:t>
      </w:r>
      <w:r w:rsidRPr="006E7585">
        <w:t>lack of professional training as a primary barrier to teachers’ provision of career guidance services. Teachers reported limited confidence in supporting learners’ career decisions and cited insufficient institutional support and resources.</w:t>
      </w:r>
    </w:p>
    <w:p w14:paraId="3F34F6B3" w14:textId="77777777" w:rsidR="002B3948" w:rsidRPr="006E7585" w:rsidRDefault="002B3948" w:rsidP="002B3948">
      <w:pPr>
        <w:pStyle w:val="NormalWeb"/>
      </w:pPr>
      <w:r w:rsidRPr="006E7585">
        <w:t xml:space="preserve">Similar patterns have been observed in Uganda, where </w:t>
      </w:r>
      <w:proofErr w:type="spellStart"/>
      <w:r w:rsidRPr="006E7585">
        <w:t>Otwine</w:t>
      </w:r>
      <w:proofErr w:type="spellEnd"/>
      <w:r w:rsidRPr="006E7585">
        <w:t xml:space="preserve"> et al. (2022) found that schools often struggle to differentiate between guidance, counselling, and career guidance roles. This </w:t>
      </w:r>
      <w:r w:rsidRPr="006E7585">
        <w:lastRenderedPageBreak/>
        <w:t xml:space="preserve">role ambiguity contributes to inconsistent service delivery and weak implementation of career guidance programs. Teachers tasked with career guidance frequently lack specialized skills, </w:t>
      </w:r>
      <w:r>
        <w:t xml:space="preserve">leading to a narrow focus on academic performance rather than on </w:t>
      </w:r>
      <w:r w:rsidRPr="006E7585">
        <w:t>holistic career development.</w:t>
      </w:r>
    </w:p>
    <w:p w14:paraId="6DE90E50" w14:textId="77777777" w:rsidR="002B3948" w:rsidRDefault="002B3948" w:rsidP="002B3948">
      <w:pPr>
        <w:pStyle w:val="NormalWeb"/>
      </w:pPr>
      <w:r w:rsidRPr="00742CB6">
        <w:t>Beyond training deficits, broader structural and motivational factors also shape teacher participation in professional development. Research in South Africa highlights that developing a culture of collaboration and sustained learning among teachers requires supportive institutional structures, adequate resources, and opportunities for continuous professional engagement (</w:t>
      </w:r>
      <w:proofErr w:type="spellStart"/>
      <w:r w:rsidRPr="00742CB6">
        <w:t>Bantwini</w:t>
      </w:r>
      <w:proofErr w:type="spellEnd"/>
      <w:r w:rsidRPr="00742CB6">
        <w:t>, 2019). At the same time, studies on teacher participation in professional development identify a range of motivational orientations</w:t>
      </w:r>
      <w:r>
        <w:t>, including career advancement, practical skill enhancement, and professional interest,</w:t>
      </w:r>
      <w:r w:rsidRPr="00742CB6">
        <w:t xml:space="preserve"> that influence whether and how educators engage in formal learning opportunities (Richter, Kleinknecht, &amp; </w:t>
      </w:r>
      <w:proofErr w:type="spellStart"/>
      <w:r w:rsidRPr="00742CB6">
        <w:t>Gröschner</w:t>
      </w:r>
      <w:proofErr w:type="spellEnd"/>
      <w:r w:rsidRPr="00742CB6">
        <w:t>, 2019). These insights align with evidence that teachers are more likely to pursue specialized training when it is linked to promotion, remuneration, or designated roles, and when systemic barriers such as cost and workload are addressed. Together, such structural and motivational perspectives underscore the need for both enabling institutional environments and meaningful incentives to support sustained engagement in career guidance and development training.</w:t>
      </w:r>
    </w:p>
    <w:p w14:paraId="20D6F260" w14:textId="77777777" w:rsidR="002B3948" w:rsidRPr="006E7585" w:rsidRDefault="002B3948" w:rsidP="002B3948">
      <w:pPr>
        <w:pStyle w:val="NormalWeb"/>
      </w:pPr>
      <w:r w:rsidRPr="006E7585">
        <w:t xml:space="preserve">Collectively, this body of literature suggests that improving teacher capacity in </w:t>
      </w:r>
      <w:r>
        <w:t xml:space="preserve">career guidance and development </w:t>
      </w:r>
      <w:r w:rsidRPr="006E7585">
        <w:t>requires more than individual motivation. It necessitates supportive institutional environments, clear policy frameworks, and sustainable professional development pathways.</w:t>
      </w:r>
    </w:p>
    <w:p w14:paraId="711D0225" w14:textId="77777777" w:rsidR="002B3948" w:rsidRPr="00001760" w:rsidRDefault="002B3948" w:rsidP="002B3948">
      <w:pPr>
        <w:rPr>
          <w:rFonts w:cs="Times New Roman"/>
          <w:b/>
          <w:szCs w:val="24"/>
        </w:rPr>
      </w:pPr>
      <w:r>
        <w:rPr>
          <w:rFonts w:cs="Times New Roman"/>
          <w:b/>
          <w:szCs w:val="24"/>
        </w:rPr>
        <w:t xml:space="preserve">2.4 </w:t>
      </w:r>
      <w:r w:rsidRPr="00001760">
        <w:rPr>
          <w:rFonts w:cs="Times New Roman"/>
          <w:b/>
          <w:szCs w:val="24"/>
        </w:rPr>
        <w:t>Career Guidance and Competency-Based Education in Kenya</w:t>
      </w:r>
    </w:p>
    <w:p w14:paraId="00E84B44" w14:textId="77777777" w:rsidR="002B3948" w:rsidRPr="006E7585" w:rsidRDefault="002B3948" w:rsidP="002B3948">
      <w:pPr>
        <w:pStyle w:val="NormalWeb"/>
      </w:pPr>
      <w:r w:rsidRPr="006E7585">
        <w:t xml:space="preserve">Kenya’s transition to </w:t>
      </w:r>
      <w:r w:rsidRPr="009B4082">
        <w:t>Competency-Based Education represents a paradigm shift toward skills development, learner</w:t>
      </w:r>
      <w:r w:rsidRPr="006E7585">
        <w:t xml:space="preserve"> agency, and pathway-oriented education. Under </w:t>
      </w:r>
      <w:r w:rsidRPr="006B612E">
        <w:rPr>
          <w:strike/>
        </w:rPr>
        <w:t>CBC/</w:t>
      </w:r>
      <w:r w:rsidRPr="006E7585">
        <w:t>CBE, learners are expected to make subject and pathway choices earlier in their educational trajectories, particularly at the junior and senior s</w:t>
      </w:r>
      <w:r>
        <w:t xml:space="preserve">chool </w:t>
      </w:r>
      <w:r w:rsidRPr="006E7585">
        <w:t>levels. This structural change amplifies the importance of effective career guidance to ensure that learners’ decisions are informed, realistic, and aligned with their strengths and aspirations.</w:t>
      </w:r>
    </w:p>
    <w:p w14:paraId="6A9C3310" w14:textId="77777777" w:rsidR="002B3948" w:rsidRPr="006E7585" w:rsidRDefault="002B3948" w:rsidP="002B3948">
      <w:pPr>
        <w:pStyle w:val="NormalWeb"/>
      </w:pPr>
      <w:r w:rsidRPr="006E7585">
        <w:t xml:space="preserve">Within this framework, teachers assume expanded responsibilities as facilitators of learner-centered education and career exploration. Yet, existing evidence suggests that many teachers enter this new system without adequate preparation for </w:t>
      </w:r>
      <w:r>
        <w:t>career guidance and development (C</w:t>
      </w:r>
      <w:r w:rsidRPr="006E7585">
        <w:t>GD</w:t>
      </w:r>
      <w:r>
        <w:t xml:space="preserve">) </w:t>
      </w:r>
      <w:r w:rsidRPr="006E7585">
        <w:t>roles. While CBC/CBE emphasizes holistic learner development, dedicated CGD modules are not systematically embedded in teacher education, leaving in-service training as the primary avenue for skills acquisition.</w:t>
      </w:r>
    </w:p>
    <w:p w14:paraId="055FD1F9" w14:textId="77777777" w:rsidR="002B3948" w:rsidRPr="006E7585" w:rsidRDefault="002B3948" w:rsidP="002B3948">
      <w:pPr>
        <w:pStyle w:val="NormalWeb"/>
      </w:pPr>
      <w:r w:rsidRPr="006E7585">
        <w:t xml:space="preserve">Sarah et al. (2019) demonstrated that access to career guidance services improves students’ career choices in Kenyan secondary schools, reinforcing the need to institutionalize CGD within </w:t>
      </w:r>
      <w:r>
        <w:t>the implementation of the CBC/CBE</w:t>
      </w:r>
      <w:r w:rsidRPr="006E7585">
        <w:t>. Nevertheless, without structured professional development and formal recognition of CGD competencies, teachers’ engagement in career guidance remains largely voluntary and uneven.</w:t>
      </w:r>
    </w:p>
    <w:p w14:paraId="4806DE47" w14:textId="77777777" w:rsidR="002B3948" w:rsidRPr="00001760" w:rsidRDefault="002B3948" w:rsidP="002B3948">
      <w:pPr>
        <w:rPr>
          <w:rFonts w:cs="Times New Roman"/>
          <w:b/>
          <w:szCs w:val="24"/>
        </w:rPr>
      </w:pPr>
      <w:r>
        <w:rPr>
          <w:rFonts w:cs="Times New Roman"/>
          <w:b/>
          <w:szCs w:val="24"/>
        </w:rPr>
        <w:t xml:space="preserve">2.5 </w:t>
      </w:r>
      <w:r w:rsidRPr="00001760">
        <w:rPr>
          <w:rFonts w:cs="Times New Roman"/>
          <w:b/>
          <w:szCs w:val="24"/>
        </w:rPr>
        <w:t>Institutional Recognition, Motivation, and Access to Training</w:t>
      </w:r>
    </w:p>
    <w:p w14:paraId="4A8A12B3" w14:textId="77777777" w:rsidR="002B3948" w:rsidRPr="006E7585" w:rsidRDefault="002B3948" w:rsidP="002B3948">
      <w:pPr>
        <w:pStyle w:val="NormalWeb"/>
      </w:pPr>
      <w:r w:rsidRPr="006E7585">
        <w:t xml:space="preserve">Teacher motivation to pursue specialized training is strongly influenced by institutional incentives and recognition structures. International and regional studies indicate that </w:t>
      </w:r>
      <w:r>
        <w:t xml:space="preserve">uptake of professional development </w:t>
      </w:r>
      <w:r w:rsidRPr="006E7585">
        <w:t>increases when qualifications are linked to promotion, remuneration, or designated roles. Conversely, when training is not formally recognized, participation tends to be limited regardless of perceived relevance.</w:t>
      </w:r>
      <w:r>
        <w:t xml:space="preserve"> Studies on teacher participation in professional </w:t>
      </w:r>
      <w:r>
        <w:lastRenderedPageBreak/>
        <w:t xml:space="preserve">development show that motivators include personal interest, career advancement, and practical skill enhancement (Richter, Kleinknecht &amp; </w:t>
      </w:r>
      <w:proofErr w:type="spellStart"/>
      <w:r>
        <w:t>Gröschner</w:t>
      </w:r>
      <w:proofErr w:type="spellEnd"/>
      <w:r>
        <w:t>, 2019), which aligns with Kenyan teachers’ preferences for CGD training linked to promotion and remuneration.</w:t>
      </w:r>
    </w:p>
    <w:p w14:paraId="2DFC2CC1" w14:textId="77777777" w:rsidR="002B3948" w:rsidRPr="006E7585" w:rsidRDefault="002B3948" w:rsidP="002B3948">
      <w:pPr>
        <w:pStyle w:val="NormalWeb"/>
      </w:pPr>
      <w:r w:rsidRPr="006E7585">
        <w:t>Financial constraints further shape access to CGD training. Özdemir and Kılıç (2025) identify cost as a major deterrent to professional development, particularly in public education systems. Teachers often self-finance training while balancing personal and family responsibilities, making affordability a decisive factor. Consequently, scholarships, subsidies, and flexible payment arrangements emerge as critical enablers of participation.</w:t>
      </w:r>
    </w:p>
    <w:p w14:paraId="3E4DA5C8" w14:textId="77777777" w:rsidR="002B3948" w:rsidRPr="006E7585" w:rsidRDefault="002B3948" w:rsidP="002B3948">
      <w:pPr>
        <w:pStyle w:val="NormalWeb"/>
      </w:pPr>
      <w:r w:rsidRPr="006E7585">
        <w:t>Delivery modality also plays a significant role. The expansion of online and blended learning following the COVID-19 pandemic has reshaped professional development landscapes, offering greater flexibility for working teachers. Flexible modalities are particularly important in geographically diverse contexts such as Kenya, where access to face-to-face training may be limited for educators in remote regions.</w:t>
      </w:r>
    </w:p>
    <w:p w14:paraId="43DDAFF0" w14:textId="77777777" w:rsidR="002B3948" w:rsidRPr="00001760" w:rsidRDefault="002B3948" w:rsidP="002B3948">
      <w:pPr>
        <w:rPr>
          <w:rFonts w:cs="Times New Roman"/>
          <w:b/>
          <w:szCs w:val="24"/>
        </w:rPr>
      </w:pPr>
      <w:r>
        <w:rPr>
          <w:rFonts w:cs="Times New Roman"/>
          <w:b/>
          <w:szCs w:val="24"/>
        </w:rPr>
        <w:t xml:space="preserve">2.6 </w:t>
      </w:r>
      <w:r w:rsidRPr="00001760">
        <w:rPr>
          <w:rFonts w:cs="Times New Roman"/>
          <w:b/>
          <w:szCs w:val="24"/>
        </w:rPr>
        <w:t>Synthesis and Research Gap</w:t>
      </w:r>
    </w:p>
    <w:p w14:paraId="2AB37290" w14:textId="77777777" w:rsidR="002B3948" w:rsidRPr="007E4BF3" w:rsidRDefault="002B3948" w:rsidP="002B3948">
      <w:pPr>
        <w:rPr>
          <w:rFonts w:eastAsia="Times New Roman" w:cs="Times New Roman"/>
          <w:szCs w:val="24"/>
        </w:rPr>
      </w:pPr>
      <w:r w:rsidRPr="007E4BF3">
        <w:rPr>
          <w:rFonts w:eastAsia="Times New Roman" w:cs="Times New Roman"/>
          <w:szCs w:val="24"/>
        </w:rPr>
        <w:t>The reviewed literature underscores the central role of teachers in delivering career guidance, the positive impact of Career Guidance and Development (CGD) training on educational outcomes, and the persistent structural barriers that constrain teacher participation in professional development. International and regional studies consistently highlight gaps in teachers’ CGD competencies, limited access to sustained training, and the influence of institutional recognition and financial constraints on professional learning.</w:t>
      </w:r>
    </w:p>
    <w:p w14:paraId="413ED920" w14:textId="77777777" w:rsidR="002B3948" w:rsidRPr="007E4BF3" w:rsidRDefault="002B3948" w:rsidP="002B3948">
      <w:pPr>
        <w:rPr>
          <w:rFonts w:eastAsia="Times New Roman" w:cs="Times New Roman"/>
          <w:szCs w:val="24"/>
        </w:rPr>
      </w:pPr>
      <w:r>
        <w:rPr>
          <w:rFonts w:eastAsia="Times New Roman" w:cs="Times New Roman"/>
          <w:szCs w:val="24"/>
        </w:rPr>
        <w:t>In Sub-Saharan Africa, research documents widespread challenges, including</w:t>
      </w:r>
      <w:r w:rsidRPr="007E4BF3">
        <w:rPr>
          <w:rFonts w:eastAsia="Times New Roman" w:cs="Times New Roman"/>
          <w:szCs w:val="24"/>
        </w:rPr>
        <w:t xml:space="preserve"> insufficient professional preparation, role ambiguity, and weak institutional support for career guidance. While these studies provide important contextual insights, they are largely localized and do not fully capture the implications of Kenya’s ongoing Competency-Based Education (CBE) reforms, which require learners to make pathway decisions earlier and place expanded career guidance responsibilities on teachers.</w:t>
      </w:r>
    </w:p>
    <w:p w14:paraId="231C8029" w14:textId="77777777" w:rsidR="002B3948" w:rsidRPr="007E4BF3" w:rsidRDefault="002B3948" w:rsidP="002B3948">
      <w:pPr>
        <w:rPr>
          <w:rFonts w:eastAsia="Times New Roman" w:cs="Times New Roman"/>
          <w:szCs w:val="24"/>
        </w:rPr>
      </w:pPr>
      <w:r w:rsidRPr="007E4BF3">
        <w:rPr>
          <w:rFonts w:eastAsia="Times New Roman" w:cs="Times New Roman"/>
          <w:szCs w:val="24"/>
        </w:rPr>
        <w:t xml:space="preserve">Despite the centrality of career guidance to CBE implementation, there remains limited national-level empirical evidence on Kenyan teachers’ engagement with CGD training. In particular, little is known about teachers’ awareness of CGD opportunities, participation patterns, perceived benefits, barriers to engagement, and motivators for enrollment within the evolving competency-based system. This evidence gap constrains the development of responsive professional development frameworks and </w:t>
      </w:r>
      <w:r>
        <w:rPr>
          <w:rFonts w:eastAsia="Times New Roman" w:cs="Times New Roman"/>
          <w:szCs w:val="24"/>
        </w:rPr>
        <w:t xml:space="preserve">the making of </w:t>
      </w:r>
      <w:r w:rsidRPr="007E4BF3">
        <w:rPr>
          <w:rFonts w:eastAsia="Times New Roman" w:cs="Times New Roman"/>
          <w:szCs w:val="24"/>
        </w:rPr>
        <w:t>informed policy decisions.</w:t>
      </w:r>
    </w:p>
    <w:p w14:paraId="176D6F14" w14:textId="77777777" w:rsidR="002B3948" w:rsidRDefault="002B3948" w:rsidP="002B3948">
      <w:pPr>
        <w:rPr>
          <w:rFonts w:eastAsia="Times New Roman" w:cs="Times New Roman"/>
          <w:szCs w:val="24"/>
        </w:rPr>
      </w:pPr>
      <w:r w:rsidRPr="007E4BF3">
        <w:rPr>
          <w:rFonts w:eastAsia="Times New Roman" w:cs="Times New Roman"/>
          <w:szCs w:val="24"/>
        </w:rPr>
        <w:t>Addressing this gap is essential for institutionalizing CGD as a core component of junior and senior school education and for strengthening learner transitions under CBE. The present study responds to this need by examining Kenyan teachers’ perspectives on CGD training across multiple counties, generating evidence to inform policy alignment, training design, and systemic capacity building.</w:t>
      </w:r>
    </w:p>
    <w:p w14:paraId="5C4AFEFF" w14:textId="77777777" w:rsidR="002B3948" w:rsidRPr="00001760" w:rsidRDefault="002B3948" w:rsidP="002B3948">
      <w:pPr>
        <w:rPr>
          <w:rFonts w:cs="Times New Roman"/>
          <w:b/>
          <w:szCs w:val="24"/>
        </w:rPr>
      </w:pPr>
      <w:r>
        <w:rPr>
          <w:rFonts w:cs="Times New Roman"/>
          <w:b/>
          <w:szCs w:val="24"/>
        </w:rPr>
        <w:t xml:space="preserve">3. </w:t>
      </w:r>
      <w:r w:rsidRPr="00001760">
        <w:rPr>
          <w:rFonts w:cs="Times New Roman"/>
          <w:b/>
          <w:szCs w:val="24"/>
        </w:rPr>
        <w:t>Theoretical Framework: A Systems and Lifespan Development Perspective</w:t>
      </w:r>
    </w:p>
    <w:p w14:paraId="44256756" w14:textId="77777777" w:rsidR="002B3948" w:rsidRPr="00001760" w:rsidRDefault="002B3948" w:rsidP="002B3948">
      <w:pPr>
        <w:rPr>
          <w:rFonts w:cs="Times New Roman"/>
          <w:b/>
          <w:szCs w:val="24"/>
        </w:rPr>
      </w:pPr>
      <w:r>
        <w:rPr>
          <w:rFonts w:cs="Times New Roman"/>
          <w:b/>
          <w:szCs w:val="24"/>
        </w:rPr>
        <w:t xml:space="preserve">3.1 </w:t>
      </w:r>
      <w:r w:rsidRPr="00001760">
        <w:rPr>
          <w:rFonts w:cs="Times New Roman"/>
          <w:b/>
          <w:szCs w:val="24"/>
        </w:rPr>
        <w:t>Theoretical Framing: A Systems and Lifespan Development Perspective on Teacher-Led Career Guidance</w:t>
      </w:r>
    </w:p>
    <w:p w14:paraId="69FA1AE4" w14:textId="77777777" w:rsidR="002B3948" w:rsidRPr="00144B0B" w:rsidRDefault="002B3948" w:rsidP="002B3948">
      <w:pPr>
        <w:rPr>
          <w:rFonts w:eastAsia="Times New Roman" w:cs="Times New Roman"/>
          <w:szCs w:val="24"/>
        </w:rPr>
      </w:pPr>
      <w:r w:rsidRPr="00144B0B">
        <w:rPr>
          <w:rFonts w:eastAsia="Times New Roman" w:cs="Times New Roman"/>
          <w:szCs w:val="24"/>
        </w:rPr>
        <w:t xml:space="preserve">This study is situated within a Systems and Lifespan Development perspective of career guidance, which conceptualizes career development as a dynamic process shaped by interactions among individual, social, institutional, and policy-level factors across time. From </w:t>
      </w:r>
      <w:r w:rsidRPr="00144B0B">
        <w:rPr>
          <w:rFonts w:eastAsia="Times New Roman" w:cs="Times New Roman"/>
          <w:szCs w:val="24"/>
        </w:rPr>
        <w:lastRenderedPageBreak/>
        <w:t>this perspective, teachers represent a critical proximal influence within learners’ immediate microsystems, while education policies, professional development structures, and institutional recognition mechanisms operate at meso- and macro-system levels (Wong et al., 2021; Joho et al., 2024).</w:t>
      </w:r>
    </w:p>
    <w:p w14:paraId="3AE69610" w14:textId="77777777" w:rsidR="002B3948" w:rsidRPr="00144B0B" w:rsidRDefault="002B3948" w:rsidP="002B3948">
      <w:pPr>
        <w:rPr>
          <w:rFonts w:eastAsia="Times New Roman" w:cs="Times New Roman"/>
          <w:szCs w:val="24"/>
        </w:rPr>
      </w:pPr>
      <w:r w:rsidRPr="00144B0B">
        <w:rPr>
          <w:rFonts w:eastAsia="Times New Roman" w:cs="Times New Roman"/>
          <w:szCs w:val="24"/>
        </w:rPr>
        <w:t xml:space="preserve">The findings illustrate how systemic constraints directly affect teachers’ capacity to support learners’ career development. Although awareness of career guidance and development (CGD) training was relatively high, limited participation reflects structural barriers, particularly training costs, lack of </w:t>
      </w:r>
      <w:r>
        <w:rPr>
          <w:rFonts w:eastAsia="Times New Roman" w:cs="Times New Roman"/>
          <w:szCs w:val="24"/>
        </w:rPr>
        <w:t>recognition by the Teachers Service Commission (TSC)</w:t>
      </w:r>
      <w:r w:rsidRPr="00144B0B">
        <w:rPr>
          <w:rFonts w:eastAsia="Times New Roman" w:cs="Times New Roman"/>
          <w:szCs w:val="24"/>
        </w:rPr>
        <w:t xml:space="preserve">, workload pressures, and insufficient institutional support. These barriers </w:t>
      </w:r>
      <w:r>
        <w:rPr>
          <w:rFonts w:eastAsia="Times New Roman" w:cs="Times New Roman"/>
          <w:szCs w:val="24"/>
        </w:rPr>
        <w:t>serve as environmental constraints that impede the development of teachers’ career guidance competence</w:t>
      </w:r>
      <w:r w:rsidRPr="00144B0B">
        <w:rPr>
          <w:rFonts w:eastAsia="Times New Roman" w:cs="Times New Roman"/>
          <w:szCs w:val="24"/>
        </w:rPr>
        <w:t>, thereby indirectly shaping learners’ career trajectories. Similar systemic challenges have been documented across Sub-Saharan Africa, where limited professional training and weak institutional support constrain teachers’ effectiveness in career guidance (</w:t>
      </w:r>
      <w:proofErr w:type="spellStart"/>
      <w:r w:rsidRPr="00144B0B">
        <w:rPr>
          <w:rFonts w:eastAsia="Times New Roman" w:cs="Times New Roman"/>
          <w:szCs w:val="24"/>
        </w:rPr>
        <w:t>Alloph</w:t>
      </w:r>
      <w:proofErr w:type="spellEnd"/>
      <w:r w:rsidRPr="00144B0B">
        <w:rPr>
          <w:rFonts w:eastAsia="Times New Roman" w:cs="Times New Roman"/>
          <w:szCs w:val="24"/>
        </w:rPr>
        <w:t xml:space="preserve"> &amp; </w:t>
      </w:r>
      <w:proofErr w:type="spellStart"/>
      <w:r w:rsidRPr="00144B0B">
        <w:rPr>
          <w:rFonts w:eastAsia="Times New Roman" w:cs="Times New Roman"/>
          <w:szCs w:val="24"/>
        </w:rPr>
        <w:t>Msonge</w:t>
      </w:r>
      <w:proofErr w:type="spellEnd"/>
      <w:r w:rsidRPr="00144B0B">
        <w:rPr>
          <w:rFonts w:eastAsia="Times New Roman" w:cs="Times New Roman"/>
          <w:szCs w:val="24"/>
        </w:rPr>
        <w:t xml:space="preserve">, 2023; </w:t>
      </w:r>
      <w:proofErr w:type="spellStart"/>
      <w:r w:rsidRPr="00144B0B">
        <w:rPr>
          <w:rFonts w:eastAsia="Times New Roman" w:cs="Times New Roman"/>
          <w:szCs w:val="24"/>
        </w:rPr>
        <w:t>Otwine</w:t>
      </w:r>
      <w:proofErr w:type="spellEnd"/>
      <w:r w:rsidRPr="00144B0B">
        <w:rPr>
          <w:rFonts w:eastAsia="Times New Roman" w:cs="Times New Roman"/>
          <w:szCs w:val="24"/>
        </w:rPr>
        <w:t xml:space="preserve"> et al., 2022).</w:t>
      </w:r>
    </w:p>
    <w:p w14:paraId="3B17B99B" w14:textId="77777777" w:rsidR="002B3948" w:rsidRPr="00144B0B" w:rsidRDefault="002B3948" w:rsidP="002B3948">
      <w:pPr>
        <w:rPr>
          <w:rFonts w:eastAsia="Times New Roman" w:cs="Times New Roman"/>
          <w:szCs w:val="24"/>
        </w:rPr>
      </w:pPr>
      <w:r w:rsidRPr="00144B0B">
        <w:rPr>
          <w:rFonts w:eastAsia="Times New Roman" w:cs="Times New Roman"/>
          <w:szCs w:val="24"/>
        </w:rPr>
        <w:t>Lifespan development theory further emphasizes that career development is cumulative and begins early, requiring consistent, developmentally appropriate guidance. Under Kenya’s CBE framework, learners are required to make pathway decisions at increasingly younger ages, heightening the importance of well-prepared teachers at junior and senior school levels. However, the present study demonstrates that more than half of teachers lack formal CGD training, resulting in limited professional confidence and competence. This gap risks producing fragmented or episodic career guidance rather than sustained developmental support, a pattern also observed in contexts where teachers assume guidance roles without specialized preparation (Hooley et al., 2024).</w:t>
      </w:r>
    </w:p>
    <w:p w14:paraId="18384853" w14:textId="533A9AE4" w:rsidR="002B3948" w:rsidRPr="00144B0B" w:rsidRDefault="002B3948" w:rsidP="002B3948">
      <w:pPr>
        <w:rPr>
          <w:rFonts w:eastAsia="Times New Roman" w:cs="Times New Roman"/>
          <w:szCs w:val="24"/>
        </w:rPr>
      </w:pPr>
      <w:r w:rsidRPr="00144B0B">
        <w:rPr>
          <w:rFonts w:eastAsia="Times New Roman" w:cs="Times New Roman"/>
          <w:szCs w:val="24"/>
        </w:rPr>
        <w:t>Teachers’ strong preference for short-term micro-credentials reflects practical realities of adult learning within demanding professional contexts. From a systems perspective, micro-credentials may serve as accessible entry points into CGD training; however, without clear articulation into advanced qualifications, they risk promoting surface-level skill acquisition. Evidence from teacher training initiatives indicates that sustained</w:t>
      </w:r>
      <w:r>
        <w:rPr>
          <w:rFonts w:eastAsia="Times New Roman" w:cs="Times New Roman"/>
          <w:szCs w:val="24"/>
        </w:rPr>
        <w:t xml:space="preserve">, structured professional learning is required to develop meaningful competence in career guidance </w:t>
      </w:r>
      <w:r w:rsidRPr="00144B0B">
        <w:rPr>
          <w:rFonts w:eastAsia="Times New Roman" w:cs="Times New Roman"/>
          <w:szCs w:val="24"/>
        </w:rPr>
        <w:t>(Bersan et al., 2024). A tiered pathway model</w:t>
      </w:r>
      <w:r>
        <w:rPr>
          <w:rFonts w:eastAsia="Times New Roman" w:cs="Times New Roman"/>
          <w:szCs w:val="24"/>
        </w:rPr>
        <w:t>,</w:t>
      </w:r>
      <w:r>
        <w:rPr>
          <w:rFonts w:eastAsia="Times New Roman" w:cs="Times New Roman"/>
          <w:szCs w:val="24"/>
        </w:rPr>
        <w:t xml:space="preserve"> </w:t>
      </w:r>
      <w:r w:rsidRPr="00144B0B">
        <w:rPr>
          <w:rFonts w:eastAsia="Times New Roman" w:cs="Times New Roman"/>
          <w:szCs w:val="24"/>
        </w:rPr>
        <w:t>progressing from basic micro-credentials to intermediate credentials and diploma-level preparation</w:t>
      </w:r>
      <w:r>
        <w:rPr>
          <w:rFonts w:eastAsia="Times New Roman" w:cs="Times New Roman"/>
          <w:szCs w:val="24"/>
        </w:rPr>
        <w:t xml:space="preserve">, </w:t>
      </w:r>
      <w:r w:rsidRPr="00144B0B">
        <w:rPr>
          <w:rFonts w:eastAsia="Times New Roman" w:cs="Times New Roman"/>
          <w:szCs w:val="24"/>
        </w:rPr>
        <w:t xml:space="preserve">therefore aligns more closely with lifespan learning principles and supports </w:t>
      </w:r>
      <w:r>
        <w:rPr>
          <w:rFonts w:eastAsia="Times New Roman" w:cs="Times New Roman"/>
          <w:szCs w:val="24"/>
        </w:rPr>
        <w:t>the progressive development of competence</w:t>
      </w:r>
      <w:r w:rsidRPr="00144B0B">
        <w:rPr>
          <w:rFonts w:eastAsia="Times New Roman" w:cs="Times New Roman"/>
          <w:szCs w:val="24"/>
        </w:rPr>
        <w:t>.</w:t>
      </w:r>
    </w:p>
    <w:p w14:paraId="423B69E6" w14:textId="77777777" w:rsidR="002B3948" w:rsidRPr="00144B0B" w:rsidRDefault="002B3948" w:rsidP="002B3948">
      <w:pPr>
        <w:rPr>
          <w:rFonts w:eastAsia="Times New Roman" w:cs="Times New Roman"/>
          <w:szCs w:val="24"/>
        </w:rPr>
      </w:pPr>
      <w:r w:rsidRPr="00144B0B">
        <w:rPr>
          <w:rFonts w:eastAsia="Times New Roman" w:cs="Times New Roman"/>
          <w:szCs w:val="24"/>
        </w:rPr>
        <w:t xml:space="preserve">Importantly, motivation to enroll in CGD training was strongly associated with institutional recognition, promotion prospects, and remuneration. This underscores the central role of policy alignment in shaping professional behavior. When CGD qualifications are not formally recognized within teacher career structures, they remain peripheral rather than embedded. Conversely, recognition by TSC would reposition CGD as a valued professional specialization, strengthening teachers’ engagement while legitimizing career guidance as a core school function. This finding is consistent with </w:t>
      </w:r>
      <w:r>
        <w:rPr>
          <w:rFonts w:eastAsia="Times New Roman" w:cs="Times New Roman"/>
          <w:szCs w:val="24"/>
        </w:rPr>
        <w:t>the broader professional development literature, which shows</w:t>
      </w:r>
      <w:r w:rsidRPr="00144B0B">
        <w:rPr>
          <w:rFonts w:eastAsia="Times New Roman" w:cs="Times New Roman"/>
          <w:szCs w:val="24"/>
        </w:rPr>
        <w:t xml:space="preserve"> that teachers are more likely to invest in training when it is linked to career progression and institutional incentives (</w:t>
      </w:r>
      <w:proofErr w:type="spellStart"/>
      <w:r w:rsidRPr="00144B0B">
        <w:rPr>
          <w:rFonts w:eastAsia="Times New Roman" w:cs="Times New Roman"/>
          <w:szCs w:val="24"/>
        </w:rPr>
        <w:t>Bantwini</w:t>
      </w:r>
      <w:proofErr w:type="spellEnd"/>
      <w:r w:rsidRPr="00144B0B">
        <w:rPr>
          <w:rFonts w:eastAsia="Times New Roman" w:cs="Times New Roman"/>
          <w:szCs w:val="24"/>
        </w:rPr>
        <w:t>, 2019; Özdemir &amp; Kılıç, 2025).</w:t>
      </w:r>
    </w:p>
    <w:p w14:paraId="7C5A7CE9" w14:textId="77BB26DC" w:rsidR="002B3948" w:rsidRPr="00144B0B" w:rsidRDefault="002B3948" w:rsidP="002B3948">
      <w:pPr>
        <w:rPr>
          <w:rFonts w:eastAsia="Times New Roman" w:cs="Times New Roman"/>
          <w:szCs w:val="24"/>
        </w:rPr>
      </w:pPr>
      <w:r w:rsidRPr="00144B0B">
        <w:rPr>
          <w:rFonts w:eastAsia="Times New Roman" w:cs="Times New Roman"/>
          <w:szCs w:val="24"/>
        </w:rPr>
        <w:t xml:space="preserve">Financial constraints emerged as the most significant </w:t>
      </w:r>
      <w:r>
        <w:rPr>
          <w:rFonts w:eastAsia="Times New Roman" w:cs="Times New Roman"/>
          <w:szCs w:val="24"/>
        </w:rPr>
        <w:t>barrier to participation</w:t>
      </w:r>
      <w:r w:rsidRPr="00144B0B">
        <w:rPr>
          <w:rFonts w:eastAsia="Times New Roman" w:cs="Times New Roman"/>
          <w:szCs w:val="24"/>
        </w:rPr>
        <w:t xml:space="preserve">, reinforcing evidence that </w:t>
      </w:r>
      <w:r>
        <w:rPr>
          <w:rFonts w:eastAsia="Times New Roman" w:cs="Times New Roman"/>
          <w:szCs w:val="24"/>
        </w:rPr>
        <w:t xml:space="preserve">uptake of professional development </w:t>
      </w:r>
      <w:r w:rsidRPr="00144B0B">
        <w:rPr>
          <w:rFonts w:eastAsia="Times New Roman" w:cs="Times New Roman"/>
          <w:szCs w:val="24"/>
        </w:rPr>
        <w:t xml:space="preserve">is heavily mediated by economic factors, particularly in public education systems (Özdemir &amp; Kılıç, 2025). The strong preference for scholarships, subsidies, and installment-based financing highlights the need for collaborative </w:t>
      </w:r>
      <w:r w:rsidRPr="00144B0B">
        <w:rPr>
          <w:rFonts w:eastAsia="Times New Roman" w:cs="Times New Roman"/>
          <w:szCs w:val="24"/>
        </w:rPr>
        <w:lastRenderedPageBreak/>
        <w:t xml:space="preserve">funding models involving training institutions, education authorities, and development partners. Within a systems framework, such partnerships represent leverage points </w:t>
      </w:r>
      <w:r>
        <w:rPr>
          <w:rFonts w:eastAsia="Times New Roman" w:cs="Times New Roman"/>
          <w:szCs w:val="24"/>
        </w:rPr>
        <w:t>that can transform</w:t>
      </w:r>
      <w:r w:rsidRPr="00144B0B">
        <w:rPr>
          <w:rFonts w:eastAsia="Times New Roman" w:cs="Times New Roman"/>
          <w:szCs w:val="24"/>
        </w:rPr>
        <w:t xml:space="preserve"> individual motivation into sustained participation.</w:t>
      </w:r>
    </w:p>
    <w:p w14:paraId="3676E71D" w14:textId="77777777" w:rsidR="002B3948" w:rsidRPr="00144B0B" w:rsidRDefault="002B3948" w:rsidP="002B3948">
      <w:pPr>
        <w:rPr>
          <w:rFonts w:eastAsia="Times New Roman" w:cs="Times New Roman"/>
          <w:szCs w:val="24"/>
        </w:rPr>
      </w:pPr>
      <w:r w:rsidRPr="00144B0B">
        <w:rPr>
          <w:rFonts w:eastAsia="Times New Roman" w:cs="Times New Roman"/>
          <w:szCs w:val="24"/>
        </w:rPr>
        <w:t>Finally, teachers’ preference for blended and online learning reflects adaptive responses to competing professional and personal demands. Flexible delivery modalities are therefore not merely logistical conveniences but essential enablers of equitable access, particularly for educators in remote or underserved regions. The expansion of blended learning has been shown to enhance participation in professional development by accommodating teachers’ workload constraints while widening geographic reach (Bersan et al., 2024).</w:t>
      </w:r>
    </w:p>
    <w:p w14:paraId="31E13526" w14:textId="139FB448" w:rsidR="002B3948" w:rsidRDefault="002B3948" w:rsidP="002B3948">
      <w:pPr>
        <w:rPr>
          <w:rFonts w:eastAsia="Times New Roman" w:cs="Times New Roman"/>
          <w:szCs w:val="24"/>
        </w:rPr>
      </w:pPr>
      <w:r w:rsidRPr="00144B0B">
        <w:rPr>
          <w:rFonts w:eastAsia="Times New Roman" w:cs="Times New Roman"/>
          <w:szCs w:val="24"/>
        </w:rPr>
        <w:t xml:space="preserve">Taken together, these findings suggest that strengthening career guidance under CBE requires more than expanding training availability. It demands coordinated systemic action across policy, institutional, financial, and pedagogical domains to support teachers’ lifelong professional development in </w:t>
      </w:r>
      <w:r>
        <w:rPr>
          <w:rFonts w:eastAsia="Times New Roman" w:cs="Times New Roman"/>
          <w:szCs w:val="24"/>
        </w:rPr>
        <w:t>career guidance and development</w:t>
      </w:r>
      <w:r w:rsidRPr="00144B0B">
        <w:rPr>
          <w:rFonts w:eastAsia="Times New Roman" w:cs="Times New Roman"/>
          <w:szCs w:val="24"/>
        </w:rPr>
        <w:t>.</w:t>
      </w:r>
    </w:p>
    <w:p w14:paraId="27C0C993" w14:textId="77777777" w:rsidR="002B3948" w:rsidRPr="00AE11C0" w:rsidRDefault="002B3948" w:rsidP="002B3948">
      <w:pPr>
        <w:rPr>
          <w:rFonts w:cs="Times New Roman"/>
          <w:b/>
          <w:szCs w:val="24"/>
        </w:rPr>
      </w:pPr>
      <w:r w:rsidRPr="00AE11C0">
        <w:rPr>
          <w:rFonts w:cs="Times New Roman"/>
          <w:b/>
          <w:szCs w:val="24"/>
        </w:rPr>
        <w:t>4. Methodology</w:t>
      </w:r>
    </w:p>
    <w:p w14:paraId="2A01CCEB" w14:textId="77777777" w:rsidR="002B3948" w:rsidRPr="00AE11C0" w:rsidRDefault="002B3948" w:rsidP="002B3948">
      <w:pPr>
        <w:rPr>
          <w:rFonts w:cs="Times New Roman"/>
          <w:b/>
          <w:szCs w:val="24"/>
        </w:rPr>
      </w:pPr>
      <w:r>
        <w:rPr>
          <w:rFonts w:cs="Times New Roman"/>
          <w:b/>
          <w:szCs w:val="24"/>
        </w:rPr>
        <w:t xml:space="preserve">4.1 </w:t>
      </w:r>
      <w:r w:rsidRPr="00AE11C0">
        <w:rPr>
          <w:rFonts w:cs="Times New Roman"/>
          <w:b/>
          <w:szCs w:val="24"/>
        </w:rPr>
        <w:t>Research Design</w:t>
      </w:r>
    </w:p>
    <w:p w14:paraId="221F15E9" w14:textId="77777777" w:rsidR="002B3948" w:rsidRDefault="002B3948" w:rsidP="002B3948">
      <w:pPr>
        <w:rPr>
          <w:rFonts w:cs="Times New Roman"/>
          <w:szCs w:val="24"/>
        </w:rPr>
      </w:pPr>
      <w:r w:rsidRPr="00AE11C0">
        <w:rPr>
          <w:rFonts w:cs="Times New Roman"/>
          <w:szCs w:val="24"/>
        </w:rPr>
        <w:t xml:space="preserve">This study adopted a mixed-methods descriptive design, integrating quantitative survey data with qualitative open-ended responses. The mixed-methods approach enabled examination of broad trends in teachers’ awareness, participation, and perceptions of Career Guidance and Development (CGD) training, alongside contextual understanding of teachers’ experiences and motivations. Such designs are particularly suitable for exploratory education research where numerical patterns and participant perspectives are jointly required to inform policy and practice (Creswell &amp; Plano Clark, 2018). Descriptive mixed-methods approaches further support pragmatic inquiry aimed at documenting current conditions and generating actionable insights in applied educational settings (Teddlie &amp; </w:t>
      </w:r>
      <w:proofErr w:type="spellStart"/>
      <w:r w:rsidRPr="00AE11C0">
        <w:rPr>
          <w:rFonts w:cs="Times New Roman"/>
          <w:szCs w:val="24"/>
        </w:rPr>
        <w:t>Tashakkori</w:t>
      </w:r>
      <w:proofErr w:type="spellEnd"/>
      <w:r w:rsidRPr="00AE11C0">
        <w:rPr>
          <w:rFonts w:cs="Times New Roman"/>
          <w:szCs w:val="24"/>
        </w:rPr>
        <w:t>, 2009).</w:t>
      </w:r>
    </w:p>
    <w:p w14:paraId="1D984A83" w14:textId="77777777" w:rsidR="002B3948" w:rsidRPr="00AE11C0" w:rsidRDefault="002B3948" w:rsidP="002B3948">
      <w:pPr>
        <w:rPr>
          <w:rFonts w:cs="Times New Roman"/>
          <w:b/>
          <w:szCs w:val="24"/>
        </w:rPr>
      </w:pPr>
      <w:r>
        <w:rPr>
          <w:rFonts w:cs="Times New Roman"/>
          <w:b/>
          <w:szCs w:val="24"/>
        </w:rPr>
        <w:t xml:space="preserve">4.2 </w:t>
      </w:r>
      <w:r w:rsidRPr="00AE11C0">
        <w:rPr>
          <w:rFonts w:cs="Times New Roman"/>
          <w:b/>
          <w:szCs w:val="24"/>
        </w:rPr>
        <w:t>Study Context, Participants, and Sampling</w:t>
      </w:r>
    </w:p>
    <w:p w14:paraId="766F4646" w14:textId="77777777" w:rsidR="002B3948" w:rsidRDefault="002B3948" w:rsidP="002B3948">
      <w:pPr>
        <w:pStyle w:val="NormalWeb"/>
      </w:pPr>
      <w:r>
        <w:t xml:space="preserve">The study was conducted across 35 counties in Kenya and targeted junior and senior school teachers. Kenya’s estimated teacher population exceeds 300,000. Using commonly applied sample size estimation approaches for large populations, including Cochran’s (1977) formula and </w:t>
      </w:r>
      <w:proofErr w:type="spellStart"/>
      <w:r>
        <w:t>Krejcie</w:t>
      </w:r>
      <w:proofErr w:type="spellEnd"/>
      <w:r>
        <w:t xml:space="preserve"> and Morgan’s (1970) sample size determination table, an ideal minimum sample of approximately 384 respondents is recommended at a 95% confidence level and 5% margin of error.</w:t>
      </w:r>
    </w:p>
    <w:p w14:paraId="25E7DE99" w14:textId="77777777" w:rsidR="002B3948" w:rsidRDefault="002B3948" w:rsidP="002B3948">
      <w:pPr>
        <w:pStyle w:val="NormalWeb"/>
      </w:pPr>
      <w:r>
        <w:t>Due to the exploratory nature of the study, reliance on online data collection, and practical constraints related to access and response rates, a total of 149 teachers participated. Participants comprised 41 junior school teachers (28%) and 108 senior school teachers (72%), representing diverse professional roles and experience levels. Recruitment employed purposive and convenience sampling through professional networks and social media platforms commonly used by teachers, including WhatsApp and Facebook groups. Similar approaches have been shown to facilitate broad geographic reach in education research while supporting exploratory and analytic generalization (Baltar &amp; Brunet, 2012).</w:t>
      </w:r>
    </w:p>
    <w:p w14:paraId="4B534E1A" w14:textId="77777777" w:rsidR="002B3948" w:rsidRDefault="002B3948" w:rsidP="002B3948">
      <w:pPr>
        <w:pStyle w:val="NormalWeb"/>
      </w:pPr>
      <w:r>
        <w:t>While this sampling strategy does not permit statistical generalization to the national teacher population, it supports analytic generalization by capturing perspectives across varied contexts and experience levels. The wide geographic coverage enhances the relevance of findings for policy dialogue and program design.</w:t>
      </w:r>
    </w:p>
    <w:p w14:paraId="0F8BC719" w14:textId="77777777" w:rsidR="002B3948" w:rsidRDefault="002B3948" w:rsidP="002B3948">
      <w:pPr>
        <w:pStyle w:val="NormalWeb"/>
      </w:pPr>
    </w:p>
    <w:p w14:paraId="55E80FF7" w14:textId="77777777" w:rsidR="002B3948" w:rsidRPr="00AE11C0" w:rsidRDefault="002B3948" w:rsidP="002B3948">
      <w:pPr>
        <w:rPr>
          <w:rFonts w:cs="Times New Roman"/>
          <w:b/>
          <w:szCs w:val="24"/>
        </w:rPr>
      </w:pPr>
      <w:r>
        <w:rPr>
          <w:rFonts w:cs="Times New Roman"/>
          <w:b/>
          <w:szCs w:val="24"/>
        </w:rPr>
        <w:lastRenderedPageBreak/>
        <w:t xml:space="preserve">4.3 </w:t>
      </w:r>
      <w:r w:rsidRPr="00AE11C0">
        <w:rPr>
          <w:rFonts w:cs="Times New Roman"/>
          <w:b/>
          <w:szCs w:val="24"/>
        </w:rPr>
        <w:t>Data Collection and Analysis</w:t>
      </w:r>
    </w:p>
    <w:p w14:paraId="42B94C60" w14:textId="77777777" w:rsidR="002B3948" w:rsidRPr="00AE11C0" w:rsidRDefault="002B3948" w:rsidP="002B3948">
      <w:pPr>
        <w:rPr>
          <w:rFonts w:cs="Times New Roman"/>
          <w:szCs w:val="24"/>
        </w:rPr>
      </w:pPr>
      <w:r w:rsidRPr="00AE11C0">
        <w:rPr>
          <w:rFonts w:cs="Times New Roman"/>
          <w:szCs w:val="24"/>
        </w:rPr>
        <w:t>Data were collected using a structured online questionnaire distributed through professional networks and social media. The instrument included items on demographics, CGD awareness and participation, perceived knowledge, barriers, motivators, and preferred training modalities, supplemented by open-ended questions on perceived benefits and challenges.</w:t>
      </w:r>
    </w:p>
    <w:p w14:paraId="59B3C9F4" w14:textId="77777777" w:rsidR="002B3948" w:rsidRPr="00AE11C0" w:rsidRDefault="002B3948" w:rsidP="002B3948">
      <w:pPr>
        <w:rPr>
          <w:rFonts w:cs="Times New Roman"/>
          <w:szCs w:val="24"/>
        </w:rPr>
      </w:pPr>
      <w:r w:rsidRPr="00AE11C0">
        <w:rPr>
          <w:rFonts w:cs="Times New Roman"/>
          <w:szCs w:val="24"/>
        </w:rPr>
        <w:t>Quantitative data were analyzed descriptively using frequencies and percentages. Qualitative responses underwent thematic content analysis, with inductive coding used to identify recurring themes related to CGD relevance, institutional support, cost constraints, and policy recognition. Representative excerpts were used to contextualize quantitative findings.</w:t>
      </w:r>
    </w:p>
    <w:p w14:paraId="61576FA1" w14:textId="77777777" w:rsidR="002B3948" w:rsidRPr="00AE11C0" w:rsidRDefault="002B3948" w:rsidP="002B3948">
      <w:pPr>
        <w:rPr>
          <w:rFonts w:cs="Times New Roman"/>
          <w:b/>
          <w:szCs w:val="24"/>
        </w:rPr>
      </w:pPr>
      <w:r>
        <w:rPr>
          <w:rFonts w:cs="Times New Roman"/>
          <w:b/>
          <w:szCs w:val="24"/>
        </w:rPr>
        <w:t xml:space="preserve">4.4 </w:t>
      </w:r>
      <w:r w:rsidRPr="00AE11C0">
        <w:rPr>
          <w:rFonts w:cs="Times New Roman"/>
          <w:b/>
          <w:szCs w:val="24"/>
        </w:rPr>
        <w:t>Ethical Considerations</w:t>
      </w:r>
    </w:p>
    <w:p w14:paraId="72625318" w14:textId="77777777" w:rsidR="002B3948" w:rsidRPr="00AE11C0" w:rsidRDefault="002B3948" w:rsidP="002B3948">
      <w:pPr>
        <w:rPr>
          <w:rFonts w:cs="Times New Roman"/>
          <w:szCs w:val="24"/>
        </w:rPr>
      </w:pPr>
      <w:r w:rsidRPr="00AE11C0">
        <w:rPr>
          <w:rFonts w:cs="Times New Roman"/>
          <w:szCs w:val="24"/>
        </w:rPr>
        <w:t>Participation was voluntary, informed consent was obtained, and responses were anonymized and reported in aggregate form. Data were used solely for research and professional development purposes.</w:t>
      </w:r>
    </w:p>
    <w:p w14:paraId="411AB73B" w14:textId="77777777" w:rsidR="002B3948" w:rsidRPr="00AE11C0" w:rsidRDefault="002B3948" w:rsidP="002B3948">
      <w:pPr>
        <w:rPr>
          <w:rFonts w:cs="Times New Roman"/>
          <w:b/>
          <w:szCs w:val="24"/>
        </w:rPr>
      </w:pPr>
      <w:r>
        <w:rPr>
          <w:rFonts w:cs="Times New Roman"/>
          <w:b/>
          <w:szCs w:val="24"/>
        </w:rPr>
        <w:t xml:space="preserve">4.5 </w:t>
      </w:r>
      <w:r w:rsidRPr="00AE11C0">
        <w:rPr>
          <w:rFonts w:cs="Times New Roman"/>
          <w:b/>
          <w:szCs w:val="24"/>
        </w:rPr>
        <w:t>Methodological Limitations</w:t>
      </w:r>
    </w:p>
    <w:p w14:paraId="38F4217C" w14:textId="77777777" w:rsidR="002B3948" w:rsidRPr="00AE11C0" w:rsidRDefault="002B3948" w:rsidP="002B3948">
      <w:pPr>
        <w:rPr>
          <w:rFonts w:cs="Times New Roman"/>
          <w:szCs w:val="24"/>
        </w:rPr>
      </w:pPr>
      <w:r w:rsidRPr="00AE11C0">
        <w:rPr>
          <w:rFonts w:cs="Times New Roman"/>
          <w:szCs w:val="24"/>
        </w:rPr>
        <w:t>Findings are exploratory and indicative rather than nationally representative due to purposive and convenience sampling and reliance on online recruitment, which may underrepresent teachers with limited digital access. Self-reported data may introduce response bias, and the cross-sectional design precludes assessment of change over time. Despite these limitations, the study offers valuable national-level insights into teachers’ perspectives on CGD within the CBC/CBE context.</w:t>
      </w:r>
    </w:p>
    <w:p w14:paraId="08B55DBA" w14:textId="77777777" w:rsidR="002B3948" w:rsidRPr="008A1E10" w:rsidRDefault="002B3948" w:rsidP="002B3948">
      <w:pPr>
        <w:rPr>
          <w:rFonts w:cs="Times New Roman"/>
          <w:b/>
          <w:szCs w:val="24"/>
        </w:rPr>
      </w:pPr>
      <w:r>
        <w:rPr>
          <w:rFonts w:cs="Times New Roman"/>
          <w:b/>
          <w:szCs w:val="24"/>
        </w:rPr>
        <w:t xml:space="preserve">5. </w:t>
      </w:r>
      <w:r w:rsidRPr="008A1E10">
        <w:rPr>
          <w:rFonts w:cs="Times New Roman"/>
          <w:b/>
          <w:szCs w:val="24"/>
        </w:rPr>
        <w:t>Results</w:t>
      </w:r>
    </w:p>
    <w:p w14:paraId="30D96D95" w14:textId="77777777" w:rsidR="002B3948" w:rsidRPr="008A1E10" w:rsidRDefault="002B3948" w:rsidP="002B3948">
      <w:pPr>
        <w:rPr>
          <w:rFonts w:cs="Times New Roman"/>
          <w:b/>
          <w:szCs w:val="24"/>
        </w:rPr>
      </w:pPr>
      <w:r>
        <w:rPr>
          <w:rFonts w:cs="Times New Roman"/>
          <w:b/>
          <w:szCs w:val="24"/>
        </w:rPr>
        <w:t xml:space="preserve">5.1 </w:t>
      </w:r>
      <w:r w:rsidRPr="008A1E10">
        <w:rPr>
          <w:rFonts w:cs="Times New Roman"/>
          <w:b/>
          <w:szCs w:val="24"/>
        </w:rPr>
        <w:t>Participant Characteristics</w:t>
      </w:r>
    </w:p>
    <w:p w14:paraId="204DABC5" w14:textId="77777777" w:rsidR="002B3948" w:rsidRPr="006E7585" w:rsidRDefault="002B3948" w:rsidP="002B3948">
      <w:pPr>
        <w:pStyle w:val="NormalWeb"/>
      </w:pPr>
      <w:r w:rsidRPr="006E7585">
        <w:t>A total of 149 teachers participated in the study, comprising 41 junior secondary teachers (28%) and 108 senior secondary teachers (72%). Participants occupied diverse professional roles, most commonly class teacher (23%), member of academic committees (20%), and guidance and counselling personnel (18%). Teaching experience varied, with 44% reporting more than 10 years of service, 32% reporting 6–10 years, 16% reporting 3–5 years, and 9% reporting less than three years.</w:t>
      </w:r>
    </w:p>
    <w:p w14:paraId="5EC378B6" w14:textId="77777777" w:rsidR="002B3948" w:rsidRPr="002322F0" w:rsidRDefault="002B3948" w:rsidP="002B3948">
      <w:pPr>
        <w:pStyle w:val="NormalWeb"/>
        <w:rPr>
          <w:b/>
          <w:bCs/>
        </w:rPr>
      </w:pPr>
      <w:r w:rsidRPr="00C8672C">
        <w:rPr>
          <w:rStyle w:val="Strong"/>
        </w:rPr>
        <w:t xml:space="preserve">Table 1: </w:t>
      </w:r>
      <w:r w:rsidRPr="002322F0">
        <w:rPr>
          <w:rStyle w:val="Emphasis"/>
          <w:b/>
          <w:bCs/>
          <w:i w:val="0"/>
          <w:iCs w:val="0"/>
        </w:rPr>
        <w:t>Participant Characteristics (N = 149)</w:t>
      </w:r>
    </w:p>
    <w:tbl>
      <w:tblPr>
        <w:tblStyle w:val="PlainTable1"/>
        <w:tblW w:w="5000" w:type="pct"/>
        <w:tblLook w:val="04A0" w:firstRow="1" w:lastRow="0" w:firstColumn="1" w:lastColumn="0" w:noHBand="0" w:noVBand="1"/>
      </w:tblPr>
      <w:tblGrid>
        <w:gridCol w:w="4107"/>
        <w:gridCol w:w="2869"/>
        <w:gridCol w:w="1129"/>
        <w:gridCol w:w="911"/>
      </w:tblGrid>
      <w:tr w:rsidR="002B3948" w:rsidRPr="00DA5939" w14:paraId="7D807E78" w14:textId="77777777" w:rsidTr="00501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pct"/>
            <w:hideMark/>
          </w:tcPr>
          <w:p w14:paraId="0BFAB749" w14:textId="77777777" w:rsidR="002B3948" w:rsidRPr="00DA5939" w:rsidRDefault="002B3948" w:rsidP="00501AE9">
            <w:pPr>
              <w:rPr>
                <w:rFonts w:cs="Times New Roman"/>
                <w:sz w:val="20"/>
              </w:rPr>
            </w:pPr>
            <w:r w:rsidRPr="00DA5939">
              <w:rPr>
                <w:rFonts w:cs="Times New Roman"/>
                <w:bCs w:val="0"/>
                <w:sz w:val="20"/>
              </w:rPr>
              <w:t>Variable</w:t>
            </w:r>
          </w:p>
        </w:tc>
        <w:tc>
          <w:tcPr>
            <w:tcW w:w="1591" w:type="pct"/>
            <w:hideMark/>
          </w:tcPr>
          <w:p w14:paraId="2C5624D7" w14:textId="77777777" w:rsidR="002B3948" w:rsidRPr="00DA5939" w:rsidRDefault="002B3948" w:rsidP="00501AE9">
            <w:pPr>
              <w:cnfStyle w:val="100000000000" w:firstRow="1" w:lastRow="0" w:firstColumn="0" w:lastColumn="0" w:oddVBand="0" w:evenVBand="0" w:oddHBand="0" w:evenHBand="0" w:firstRowFirstColumn="0" w:firstRowLastColumn="0" w:lastRowFirstColumn="0" w:lastRowLastColumn="0"/>
              <w:rPr>
                <w:rFonts w:cs="Times New Roman"/>
                <w:bCs w:val="0"/>
                <w:sz w:val="20"/>
              </w:rPr>
            </w:pPr>
            <w:r w:rsidRPr="00DA5939">
              <w:rPr>
                <w:rFonts w:cs="Times New Roman"/>
                <w:bCs w:val="0"/>
                <w:sz w:val="20"/>
              </w:rPr>
              <w:t>Category</w:t>
            </w:r>
          </w:p>
        </w:tc>
        <w:tc>
          <w:tcPr>
            <w:tcW w:w="626" w:type="pct"/>
            <w:hideMark/>
          </w:tcPr>
          <w:p w14:paraId="7FD02438" w14:textId="77777777" w:rsidR="002B3948" w:rsidRPr="00DA5939" w:rsidRDefault="002B3948" w:rsidP="00501AE9">
            <w:pPr>
              <w:cnfStyle w:val="100000000000" w:firstRow="1" w:lastRow="0" w:firstColumn="0" w:lastColumn="0" w:oddVBand="0" w:evenVBand="0" w:oddHBand="0" w:evenHBand="0" w:firstRowFirstColumn="0" w:firstRowLastColumn="0" w:lastRowFirstColumn="0" w:lastRowLastColumn="0"/>
              <w:rPr>
                <w:rFonts w:cs="Times New Roman"/>
                <w:bCs w:val="0"/>
                <w:sz w:val="20"/>
              </w:rPr>
            </w:pPr>
            <w:r w:rsidRPr="00DA5939">
              <w:rPr>
                <w:rFonts w:cs="Times New Roman"/>
                <w:bCs w:val="0"/>
                <w:sz w:val="20"/>
              </w:rPr>
              <w:t>n</w:t>
            </w:r>
          </w:p>
        </w:tc>
        <w:tc>
          <w:tcPr>
            <w:tcW w:w="505" w:type="pct"/>
            <w:hideMark/>
          </w:tcPr>
          <w:p w14:paraId="6F0A698F" w14:textId="77777777" w:rsidR="002B3948" w:rsidRPr="00DA5939" w:rsidRDefault="002B3948" w:rsidP="00501AE9">
            <w:pPr>
              <w:cnfStyle w:val="100000000000" w:firstRow="1" w:lastRow="0" w:firstColumn="0" w:lastColumn="0" w:oddVBand="0" w:evenVBand="0" w:oddHBand="0" w:evenHBand="0" w:firstRowFirstColumn="0" w:firstRowLastColumn="0" w:lastRowFirstColumn="0" w:lastRowLastColumn="0"/>
              <w:rPr>
                <w:rFonts w:cs="Times New Roman"/>
                <w:bCs w:val="0"/>
                <w:sz w:val="20"/>
              </w:rPr>
            </w:pPr>
            <w:r w:rsidRPr="00DA5939">
              <w:rPr>
                <w:rFonts w:cs="Times New Roman"/>
                <w:bCs w:val="0"/>
                <w:sz w:val="20"/>
              </w:rPr>
              <w:t>%</w:t>
            </w:r>
          </w:p>
        </w:tc>
      </w:tr>
      <w:tr w:rsidR="002B3948" w:rsidRPr="00DA5939" w14:paraId="60A9993E" w14:textId="77777777" w:rsidTr="00501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pct"/>
            <w:hideMark/>
          </w:tcPr>
          <w:p w14:paraId="4580B49C" w14:textId="77777777" w:rsidR="002B3948" w:rsidRPr="00DA5939" w:rsidRDefault="002B3948" w:rsidP="00501AE9">
            <w:pPr>
              <w:rPr>
                <w:rFonts w:cs="Times New Roman"/>
                <w:b w:val="0"/>
                <w:bCs w:val="0"/>
                <w:sz w:val="20"/>
              </w:rPr>
            </w:pPr>
            <w:r w:rsidRPr="00DA5939">
              <w:rPr>
                <w:rFonts w:cs="Times New Roman"/>
                <w:b w:val="0"/>
                <w:sz w:val="20"/>
              </w:rPr>
              <w:t>School level</w:t>
            </w:r>
          </w:p>
        </w:tc>
        <w:tc>
          <w:tcPr>
            <w:tcW w:w="1591" w:type="pct"/>
            <w:hideMark/>
          </w:tcPr>
          <w:p w14:paraId="759D979D"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 xml:space="preserve">Junior school </w:t>
            </w:r>
          </w:p>
        </w:tc>
        <w:tc>
          <w:tcPr>
            <w:tcW w:w="626" w:type="pct"/>
            <w:hideMark/>
          </w:tcPr>
          <w:p w14:paraId="39CE6529"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41</w:t>
            </w:r>
          </w:p>
        </w:tc>
        <w:tc>
          <w:tcPr>
            <w:tcW w:w="505" w:type="pct"/>
            <w:hideMark/>
          </w:tcPr>
          <w:p w14:paraId="3E0BAAF0"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28</w:t>
            </w:r>
          </w:p>
        </w:tc>
      </w:tr>
      <w:tr w:rsidR="002B3948" w:rsidRPr="00DA5939" w14:paraId="113BFEBA" w14:textId="77777777" w:rsidTr="00501AE9">
        <w:tc>
          <w:tcPr>
            <w:cnfStyle w:val="001000000000" w:firstRow="0" w:lastRow="0" w:firstColumn="1" w:lastColumn="0" w:oddVBand="0" w:evenVBand="0" w:oddHBand="0" w:evenHBand="0" w:firstRowFirstColumn="0" w:firstRowLastColumn="0" w:lastRowFirstColumn="0" w:lastRowLastColumn="0"/>
            <w:tcW w:w="2278" w:type="pct"/>
            <w:hideMark/>
          </w:tcPr>
          <w:p w14:paraId="6568DA7B" w14:textId="77777777" w:rsidR="002B3948" w:rsidRPr="00DA5939" w:rsidRDefault="002B3948" w:rsidP="00501AE9">
            <w:pPr>
              <w:rPr>
                <w:rFonts w:cs="Times New Roman"/>
                <w:b w:val="0"/>
                <w:sz w:val="20"/>
              </w:rPr>
            </w:pPr>
          </w:p>
        </w:tc>
        <w:tc>
          <w:tcPr>
            <w:tcW w:w="1591" w:type="pct"/>
            <w:hideMark/>
          </w:tcPr>
          <w:p w14:paraId="02927D4D" w14:textId="77777777" w:rsidR="002B3948" w:rsidRPr="00DA5939" w:rsidRDefault="002B3948" w:rsidP="00501AE9">
            <w:pPr>
              <w:cnfStyle w:val="000000000000" w:firstRow="0" w:lastRow="0" w:firstColumn="0" w:lastColumn="0" w:oddVBand="0" w:evenVBand="0" w:oddHBand="0" w:evenHBand="0" w:firstRowFirstColumn="0" w:firstRowLastColumn="0" w:lastRowFirstColumn="0" w:lastRowLastColumn="0"/>
              <w:rPr>
                <w:rFonts w:cs="Times New Roman"/>
                <w:sz w:val="20"/>
              </w:rPr>
            </w:pPr>
            <w:r w:rsidRPr="00DA5939">
              <w:rPr>
                <w:rFonts w:cs="Times New Roman"/>
                <w:sz w:val="20"/>
              </w:rPr>
              <w:t>Senior school</w:t>
            </w:r>
          </w:p>
        </w:tc>
        <w:tc>
          <w:tcPr>
            <w:tcW w:w="626" w:type="pct"/>
            <w:hideMark/>
          </w:tcPr>
          <w:p w14:paraId="48DD9391" w14:textId="77777777" w:rsidR="002B3948" w:rsidRPr="00DA5939" w:rsidRDefault="002B3948" w:rsidP="00501AE9">
            <w:pPr>
              <w:cnfStyle w:val="000000000000" w:firstRow="0" w:lastRow="0" w:firstColumn="0" w:lastColumn="0" w:oddVBand="0" w:evenVBand="0" w:oddHBand="0" w:evenHBand="0" w:firstRowFirstColumn="0" w:firstRowLastColumn="0" w:lastRowFirstColumn="0" w:lastRowLastColumn="0"/>
              <w:rPr>
                <w:rFonts w:cs="Times New Roman"/>
                <w:sz w:val="20"/>
              </w:rPr>
            </w:pPr>
            <w:r w:rsidRPr="00DA5939">
              <w:rPr>
                <w:rFonts w:cs="Times New Roman"/>
                <w:sz w:val="20"/>
              </w:rPr>
              <w:t>108</w:t>
            </w:r>
          </w:p>
        </w:tc>
        <w:tc>
          <w:tcPr>
            <w:tcW w:w="505" w:type="pct"/>
            <w:hideMark/>
          </w:tcPr>
          <w:p w14:paraId="7772FC0A" w14:textId="77777777" w:rsidR="002B3948" w:rsidRPr="00DA5939" w:rsidRDefault="002B3948" w:rsidP="00501AE9">
            <w:pPr>
              <w:cnfStyle w:val="000000000000" w:firstRow="0" w:lastRow="0" w:firstColumn="0" w:lastColumn="0" w:oddVBand="0" w:evenVBand="0" w:oddHBand="0" w:evenHBand="0" w:firstRowFirstColumn="0" w:firstRowLastColumn="0" w:lastRowFirstColumn="0" w:lastRowLastColumn="0"/>
              <w:rPr>
                <w:rFonts w:cs="Times New Roman"/>
                <w:sz w:val="20"/>
              </w:rPr>
            </w:pPr>
            <w:r w:rsidRPr="00DA5939">
              <w:rPr>
                <w:rFonts w:cs="Times New Roman"/>
                <w:sz w:val="20"/>
              </w:rPr>
              <w:t>72</w:t>
            </w:r>
          </w:p>
        </w:tc>
      </w:tr>
      <w:tr w:rsidR="002B3948" w:rsidRPr="00DA5939" w14:paraId="4E30557F" w14:textId="77777777" w:rsidTr="00501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pct"/>
            <w:hideMark/>
          </w:tcPr>
          <w:p w14:paraId="45A7D90C" w14:textId="77777777" w:rsidR="002B3948" w:rsidRPr="00DA5939" w:rsidRDefault="002B3948" w:rsidP="00501AE9">
            <w:pPr>
              <w:rPr>
                <w:rFonts w:cs="Times New Roman"/>
                <w:b w:val="0"/>
                <w:sz w:val="20"/>
              </w:rPr>
            </w:pPr>
            <w:r w:rsidRPr="00DA5939">
              <w:rPr>
                <w:rFonts w:cs="Times New Roman"/>
                <w:b w:val="0"/>
                <w:sz w:val="20"/>
              </w:rPr>
              <w:t>Teaching experience</w:t>
            </w:r>
          </w:p>
        </w:tc>
        <w:tc>
          <w:tcPr>
            <w:tcW w:w="1591" w:type="pct"/>
            <w:hideMark/>
          </w:tcPr>
          <w:p w14:paraId="533E7308"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&lt; 3 years</w:t>
            </w:r>
          </w:p>
        </w:tc>
        <w:tc>
          <w:tcPr>
            <w:tcW w:w="626" w:type="pct"/>
            <w:hideMark/>
          </w:tcPr>
          <w:p w14:paraId="1DCFD34C"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w:t>
            </w:r>
          </w:p>
        </w:tc>
        <w:tc>
          <w:tcPr>
            <w:tcW w:w="505" w:type="pct"/>
            <w:hideMark/>
          </w:tcPr>
          <w:p w14:paraId="48E9D8D6"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9</w:t>
            </w:r>
          </w:p>
        </w:tc>
      </w:tr>
      <w:tr w:rsidR="002B3948" w:rsidRPr="00DA5939" w14:paraId="22766F8A" w14:textId="77777777" w:rsidTr="00501AE9">
        <w:tc>
          <w:tcPr>
            <w:cnfStyle w:val="001000000000" w:firstRow="0" w:lastRow="0" w:firstColumn="1" w:lastColumn="0" w:oddVBand="0" w:evenVBand="0" w:oddHBand="0" w:evenHBand="0" w:firstRowFirstColumn="0" w:firstRowLastColumn="0" w:lastRowFirstColumn="0" w:lastRowLastColumn="0"/>
            <w:tcW w:w="2278" w:type="pct"/>
            <w:hideMark/>
          </w:tcPr>
          <w:p w14:paraId="2F4CB51E" w14:textId="77777777" w:rsidR="002B3948" w:rsidRPr="00DA5939" w:rsidRDefault="002B3948" w:rsidP="00501AE9">
            <w:pPr>
              <w:rPr>
                <w:rFonts w:cs="Times New Roman"/>
                <w:b w:val="0"/>
                <w:sz w:val="20"/>
              </w:rPr>
            </w:pPr>
          </w:p>
        </w:tc>
        <w:tc>
          <w:tcPr>
            <w:tcW w:w="1591" w:type="pct"/>
            <w:hideMark/>
          </w:tcPr>
          <w:p w14:paraId="2CCCFA6B" w14:textId="77777777" w:rsidR="002B3948" w:rsidRPr="00DA5939" w:rsidRDefault="002B3948" w:rsidP="00501AE9">
            <w:pPr>
              <w:cnfStyle w:val="000000000000" w:firstRow="0" w:lastRow="0" w:firstColumn="0" w:lastColumn="0" w:oddVBand="0" w:evenVBand="0" w:oddHBand="0" w:evenHBand="0" w:firstRowFirstColumn="0" w:firstRowLastColumn="0" w:lastRowFirstColumn="0" w:lastRowLastColumn="0"/>
              <w:rPr>
                <w:rFonts w:cs="Times New Roman"/>
                <w:sz w:val="20"/>
              </w:rPr>
            </w:pPr>
            <w:r w:rsidRPr="00DA5939">
              <w:rPr>
                <w:rFonts w:cs="Times New Roman"/>
                <w:sz w:val="20"/>
              </w:rPr>
              <w:t>3–5 years</w:t>
            </w:r>
          </w:p>
        </w:tc>
        <w:tc>
          <w:tcPr>
            <w:tcW w:w="626" w:type="pct"/>
            <w:hideMark/>
          </w:tcPr>
          <w:p w14:paraId="4EAFAF64" w14:textId="77777777" w:rsidR="002B3948" w:rsidRPr="00DA5939" w:rsidRDefault="002B3948" w:rsidP="00501AE9">
            <w:pPr>
              <w:cnfStyle w:val="000000000000" w:firstRow="0" w:lastRow="0" w:firstColumn="0" w:lastColumn="0" w:oddVBand="0" w:evenVBand="0" w:oddHBand="0" w:evenHBand="0" w:firstRowFirstColumn="0" w:firstRowLastColumn="0" w:lastRowFirstColumn="0" w:lastRowLastColumn="0"/>
              <w:rPr>
                <w:rFonts w:cs="Times New Roman"/>
                <w:sz w:val="20"/>
              </w:rPr>
            </w:pPr>
            <w:r w:rsidRPr="00DA5939">
              <w:rPr>
                <w:rFonts w:cs="Times New Roman"/>
                <w:sz w:val="20"/>
              </w:rPr>
              <w:t>—</w:t>
            </w:r>
          </w:p>
        </w:tc>
        <w:tc>
          <w:tcPr>
            <w:tcW w:w="505" w:type="pct"/>
            <w:hideMark/>
          </w:tcPr>
          <w:p w14:paraId="44E864F9" w14:textId="77777777" w:rsidR="002B3948" w:rsidRPr="00DA5939" w:rsidRDefault="002B3948" w:rsidP="00501AE9">
            <w:pPr>
              <w:cnfStyle w:val="000000000000" w:firstRow="0" w:lastRow="0" w:firstColumn="0" w:lastColumn="0" w:oddVBand="0" w:evenVBand="0" w:oddHBand="0" w:evenHBand="0" w:firstRowFirstColumn="0" w:firstRowLastColumn="0" w:lastRowFirstColumn="0" w:lastRowLastColumn="0"/>
              <w:rPr>
                <w:rFonts w:cs="Times New Roman"/>
                <w:sz w:val="20"/>
              </w:rPr>
            </w:pPr>
            <w:r w:rsidRPr="00DA5939">
              <w:rPr>
                <w:rFonts w:cs="Times New Roman"/>
                <w:sz w:val="20"/>
              </w:rPr>
              <w:t>16</w:t>
            </w:r>
          </w:p>
        </w:tc>
      </w:tr>
      <w:tr w:rsidR="002B3948" w:rsidRPr="00DA5939" w14:paraId="36C534CC" w14:textId="77777777" w:rsidTr="00501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pct"/>
            <w:hideMark/>
          </w:tcPr>
          <w:p w14:paraId="34A1B4C2" w14:textId="77777777" w:rsidR="002B3948" w:rsidRPr="00DA5939" w:rsidRDefault="002B3948" w:rsidP="00501AE9">
            <w:pPr>
              <w:rPr>
                <w:rFonts w:cs="Times New Roman"/>
                <w:sz w:val="20"/>
              </w:rPr>
            </w:pPr>
          </w:p>
        </w:tc>
        <w:tc>
          <w:tcPr>
            <w:tcW w:w="1591" w:type="pct"/>
            <w:hideMark/>
          </w:tcPr>
          <w:p w14:paraId="3AA05616"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6–10 years</w:t>
            </w:r>
          </w:p>
        </w:tc>
        <w:tc>
          <w:tcPr>
            <w:tcW w:w="626" w:type="pct"/>
            <w:hideMark/>
          </w:tcPr>
          <w:p w14:paraId="34135B24"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w:t>
            </w:r>
          </w:p>
        </w:tc>
        <w:tc>
          <w:tcPr>
            <w:tcW w:w="505" w:type="pct"/>
            <w:hideMark/>
          </w:tcPr>
          <w:p w14:paraId="659C430D"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32</w:t>
            </w:r>
          </w:p>
        </w:tc>
      </w:tr>
      <w:tr w:rsidR="002B3948" w:rsidRPr="00DA5939" w14:paraId="1FBBBDE0" w14:textId="77777777" w:rsidTr="00501AE9">
        <w:tc>
          <w:tcPr>
            <w:cnfStyle w:val="001000000000" w:firstRow="0" w:lastRow="0" w:firstColumn="1" w:lastColumn="0" w:oddVBand="0" w:evenVBand="0" w:oddHBand="0" w:evenHBand="0" w:firstRowFirstColumn="0" w:firstRowLastColumn="0" w:lastRowFirstColumn="0" w:lastRowLastColumn="0"/>
            <w:tcW w:w="2278" w:type="pct"/>
            <w:hideMark/>
          </w:tcPr>
          <w:p w14:paraId="46873F3D" w14:textId="77777777" w:rsidR="002B3948" w:rsidRPr="00DA5939" w:rsidRDefault="002B3948" w:rsidP="00501AE9">
            <w:pPr>
              <w:rPr>
                <w:rFonts w:cs="Times New Roman"/>
                <w:sz w:val="20"/>
              </w:rPr>
            </w:pPr>
          </w:p>
        </w:tc>
        <w:tc>
          <w:tcPr>
            <w:tcW w:w="1591" w:type="pct"/>
            <w:hideMark/>
          </w:tcPr>
          <w:p w14:paraId="4D91EBCA" w14:textId="77777777" w:rsidR="002B3948" w:rsidRPr="00DA5939" w:rsidRDefault="002B3948" w:rsidP="00501AE9">
            <w:pPr>
              <w:cnfStyle w:val="000000000000" w:firstRow="0" w:lastRow="0" w:firstColumn="0" w:lastColumn="0" w:oddVBand="0" w:evenVBand="0" w:oddHBand="0" w:evenHBand="0" w:firstRowFirstColumn="0" w:firstRowLastColumn="0" w:lastRowFirstColumn="0" w:lastRowLastColumn="0"/>
              <w:rPr>
                <w:rFonts w:cs="Times New Roman"/>
                <w:sz w:val="20"/>
              </w:rPr>
            </w:pPr>
            <w:r w:rsidRPr="00DA5939">
              <w:rPr>
                <w:rFonts w:cs="Times New Roman"/>
                <w:sz w:val="20"/>
              </w:rPr>
              <w:t>&gt; 10 years</w:t>
            </w:r>
          </w:p>
        </w:tc>
        <w:tc>
          <w:tcPr>
            <w:tcW w:w="626" w:type="pct"/>
            <w:hideMark/>
          </w:tcPr>
          <w:p w14:paraId="720F7C0C" w14:textId="77777777" w:rsidR="002B3948" w:rsidRPr="00DA5939" w:rsidRDefault="002B3948" w:rsidP="00501AE9">
            <w:pPr>
              <w:cnfStyle w:val="000000000000" w:firstRow="0" w:lastRow="0" w:firstColumn="0" w:lastColumn="0" w:oddVBand="0" w:evenVBand="0" w:oddHBand="0" w:evenHBand="0" w:firstRowFirstColumn="0" w:firstRowLastColumn="0" w:lastRowFirstColumn="0" w:lastRowLastColumn="0"/>
              <w:rPr>
                <w:rFonts w:cs="Times New Roman"/>
                <w:sz w:val="20"/>
              </w:rPr>
            </w:pPr>
            <w:r w:rsidRPr="00DA5939">
              <w:rPr>
                <w:rFonts w:cs="Times New Roman"/>
                <w:sz w:val="20"/>
              </w:rPr>
              <w:t>—</w:t>
            </w:r>
          </w:p>
        </w:tc>
        <w:tc>
          <w:tcPr>
            <w:tcW w:w="505" w:type="pct"/>
            <w:hideMark/>
          </w:tcPr>
          <w:p w14:paraId="5716C621" w14:textId="77777777" w:rsidR="002B3948" w:rsidRPr="00DA5939" w:rsidRDefault="002B3948" w:rsidP="00501AE9">
            <w:pPr>
              <w:cnfStyle w:val="000000000000" w:firstRow="0" w:lastRow="0" w:firstColumn="0" w:lastColumn="0" w:oddVBand="0" w:evenVBand="0" w:oddHBand="0" w:evenHBand="0" w:firstRowFirstColumn="0" w:firstRowLastColumn="0" w:lastRowFirstColumn="0" w:lastRowLastColumn="0"/>
              <w:rPr>
                <w:rFonts w:cs="Times New Roman"/>
                <w:sz w:val="20"/>
              </w:rPr>
            </w:pPr>
            <w:r w:rsidRPr="00DA5939">
              <w:rPr>
                <w:rFonts w:cs="Times New Roman"/>
                <w:sz w:val="20"/>
              </w:rPr>
              <w:t>44</w:t>
            </w:r>
          </w:p>
        </w:tc>
      </w:tr>
    </w:tbl>
    <w:p w14:paraId="007004B5" w14:textId="77777777" w:rsidR="002B3948" w:rsidRDefault="002B3948" w:rsidP="002B3948">
      <w:pPr>
        <w:pStyle w:val="NormalWeb"/>
      </w:pPr>
      <w:r w:rsidRPr="006E7585">
        <w:rPr>
          <w:rStyle w:val="Emphasis"/>
        </w:rPr>
        <w:t>Note.</w:t>
      </w:r>
      <w:r w:rsidRPr="006E7585">
        <w:t xml:space="preserve"> Percentages may not total 100 due to rounding.</w:t>
      </w:r>
    </w:p>
    <w:p w14:paraId="43248C6E" w14:textId="77777777" w:rsidR="002B3948" w:rsidRPr="006E7585" w:rsidRDefault="002B3948" w:rsidP="002B3948">
      <w:pPr>
        <w:pStyle w:val="NormalWeb"/>
      </w:pPr>
    </w:p>
    <w:p w14:paraId="64714E6C" w14:textId="77777777" w:rsidR="002B3948" w:rsidRPr="008A1E10" w:rsidRDefault="002B3948" w:rsidP="002B3948">
      <w:pPr>
        <w:rPr>
          <w:rFonts w:cs="Times New Roman"/>
          <w:b/>
          <w:szCs w:val="24"/>
        </w:rPr>
      </w:pPr>
      <w:r>
        <w:rPr>
          <w:rFonts w:cs="Times New Roman"/>
          <w:b/>
          <w:szCs w:val="24"/>
        </w:rPr>
        <w:lastRenderedPageBreak/>
        <w:t xml:space="preserve">5.2 </w:t>
      </w:r>
      <w:r w:rsidRPr="008A1E10">
        <w:rPr>
          <w:rFonts w:cs="Times New Roman"/>
          <w:b/>
          <w:szCs w:val="24"/>
        </w:rPr>
        <w:t>Awareness, Participation, and Understanding of CGD</w:t>
      </w:r>
    </w:p>
    <w:p w14:paraId="69DA67B0" w14:textId="77777777" w:rsidR="002B3948" w:rsidRPr="006E7585" w:rsidRDefault="002B3948" w:rsidP="002B3948">
      <w:pPr>
        <w:pStyle w:val="NormalWeb"/>
      </w:pPr>
      <w:r w:rsidRPr="006E7585">
        <w:t>Approximately 73% of teachers reported being aware of Career Guidance and Development (CGD) training opportunities. Awareness increased with years of teaching experience, with more experienced teachers demonstrating higher familiarity with CGD. Despite this relatively high awareness, participation in CGD training remained limited: 53% of respondents had never undertaken any. Among those who had participated, most reported short-term (3–5 days) or medium-term (1–3 months) programs, while only 9% had engaged in long-term training.</w:t>
      </w:r>
    </w:p>
    <w:p w14:paraId="7AC8CA2A" w14:textId="77777777" w:rsidR="002B3948" w:rsidRDefault="002B3948" w:rsidP="002B3948">
      <w:pPr>
        <w:pStyle w:val="NormalWeb"/>
      </w:pPr>
      <w:r w:rsidRPr="006E7585">
        <w:t>Consistent with these participation patterns, more than half of respondents (54%) reported limited knowledge of CGD, and an additional 5% reported very limited knowledge.</w:t>
      </w:r>
    </w:p>
    <w:p w14:paraId="45F32952" w14:textId="77777777" w:rsidR="002B3948" w:rsidRPr="006E7585" w:rsidRDefault="002B3948" w:rsidP="002B3948">
      <w:pPr>
        <w:pStyle w:val="NormalWeb"/>
      </w:pPr>
      <w:r w:rsidRPr="006E7585">
        <w:rPr>
          <w:rStyle w:val="Strong"/>
        </w:rPr>
        <w:t>Table 2</w:t>
      </w:r>
      <w:r>
        <w:rPr>
          <w:rStyle w:val="Strong"/>
        </w:rPr>
        <w:t xml:space="preserve">: </w:t>
      </w:r>
      <w:r w:rsidRPr="002322F0">
        <w:rPr>
          <w:rStyle w:val="Emphasis"/>
          <w:b/>
          <w:bCs/>
          <w:i w:val="0"/>
          <w:iCs w:val="0"/>
        </w:rPr>
        <w:t>Awareness, Participation, and Self-Rated Understanding of CGD</w:t>
      </w:r>
    </w:p>
    <w:tbl>
      <w:tblPr>
        <w:tblStyle w:val="PlainTable1"/>
        <w:tblW w:w="5000" w:type="pct"/>
        <w:tblLook w:val="04A0" w:firstRow="1" w:lastRow="0" w:firstColumn="1" w:lastColumn="0" w:noHBand="0" w:noVBand="1"/>
      </w:tblPr>
      <w:tblGrid>
        <w:gridCol w:w="4546"/>
        <w:gridCol w:w="3700"/>
        <w:gridCol w:w="770"/>
      </w:tblGrid>
      <w:tr w:rsidR="002B3948" w:rsidRPr="00DA5939" w14:paraId="33A84A49" w14:textId="77777777" w:rsidTr="00501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1" w:type="pct"/>
            <w:hideMark/>
          </w:tcPr>
          <w:p w14:paraId="1C8506FB" w14:textId="77777777" w:rsidR="002B3948" w:rsidRPr="00DA5939" w:rsidRDefault="002B3948" w:rsidP="00501AE9">
            <w:pPr>
              <w:rPr>
                <w:rFonts w:cs="Times New Roman"/>
                <w:sz w:val="20"/>
              </w:rPr>
            </w:pPr>
            <w:r w:rsidRPr="00DA5939">
              <w:rPr>
                <w:rFonts w:cs="Times New Roman"/>
                <w:bCs w:val="0"/>
                <w:sz w:val="20"/>
              </w:rPr>
              <w:t>Variable</w:t>
            </w:r>
          </w:p>
        </w:tc>
        <w:tc>
          <w:tcPr>
            <w:tcW w:w="2052" w:type="pct"/>
            <w:hideMark/>
          </w:tcPr>
          <w:p w14:paraId="36699D02" w14:textId="77777777" w:rsidR="002B3948" w:rsidRPr="00DA5939" w:rsidRDefault="002B3948" w:rsidP="00501AE9">
            <w:pPr>
              <w:cnfStyle w:val="100000000000" w:firstRow="1" w:lastRow="0" w:firstColumn="0" w:lastColumn="0" w:oddVBand="0" w:evenVBand="0" w:oddHBand="0" w:evenHBand="0" w:firstRowFirstColumn="0" w:firstRowLastColumn="0" w:lastRowFirstColumn="0" w:lastRowLastColumn="0"/>
              <w:rPr>
                <w:rFonts w:cs="Times New Roman"/>
                <w:bCs w:val="0"/>
                <w:sz w:val="20"/>
              </w:rPr>
            </w:pPr>
            <w:r w:rsidRPr="00DA5939">
              <w:rPr>
                <w:rFonts w:cs="Times New Roman"/>
                <w:bCs w:val="0"/>
                <w:sz w:val="20"/>
              </w:rPr>
              <w:t>Category</w:t>
            </w:r>
          </w:p>
        </w:tc>
        <w:tc>
          <w:tcPr>
            <w:tcW w:w="427" w:type="pct"/>
            <w:hideMark/>
          </w:tcPr>
          <w:p w14:paraId="0CB916B1" w14:textId="77777777" w:rsidR="002B3948" w:rsidRPr="00DA5939" w:rsidRDefault="002B3948" w:rsidP="00501AE9">
            <w:pPr>
              <w:cnfStyle w:val="100000000000" w:firstRow="1" w:lastRow="0" w:firstColumn="0" w:lastColumn="0" w:oddVBand="0" w:evenVBand="0" w:oddHBand="0" w:evenHBand="0" w:firstRowFirstColumn="0" w:firstRowLastColumn="0" w:lastRowFirstColumn="0" w:lastRowLastColumn="0"/>
              <w:rPr>
                <w:rFonts w:cs="Times New Roman"/>
                <w:bCs w:val="0"/>
                <w:sz w:val="20"/>
              </w:rPr>
            </w:pPr>
            <w:r w:rsidRPr="00DA5939">
              <w:rPr>
                <w:rFonts w:cs="Times New Roman"/>
                <w:bCs w:val="0"/>
                <w:sz w:val="20"/>
              </w:rPr>
              <w:t>%</w:t>
            </w:r>
          </w:p>
        </w:tc>
      </w:tr>
      <w:tr w:rsidR="002B3948" w:rsidRPr="00DA5939" w14:paraId="64AAB561" w14:textId="77777777" w:rsidTr="00501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1" w:type="pct"/>
            <w:vMerge w:val="restart"/>
            <w:shd w:val="clear" w:color="auto" w:fill="auto"/>
            <w:hideMark/>
          </w:tcPr>
          <w:p w14:paraId="5A369F05" w14:textId="77777777" w:rsidR="002B3948" w:rsidRPr="00DA5939" w:rsidRDefault="002B3948" w:rsidP="00501AE9">
            <w:pPr>
              <w:rPr>
                <w:rFonts w:cs="Times New Roman"/>
                <w:b w:val="0"/>
                <w:bCs w:val="0"/>
                <w:sz w:val="20"/>
              </w:rPr>
            </w:pPr>
            <w:r w:rsidRPr="00DA5939">
              <w:rPr>
                <w:rFonts w:cs="Times New Roman"/>
                <w:b w:val="0"/>
                <w:sz w:val="20"/>
              </w:rPr>
              <w:t>Awareness of CGD training</w:t>
            </w:r>
          </w:p>
        </w:tc>
        <w:tc>
          <w:tcPr>
            <w:tcW w:w="2052" w:type="pct"/>
            <w:hideMark/>
          </w:tcPr>
          <w:p w14:paraId="7C7F6E1C"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Aware</w:t>
            </w:r>
          </w:p>
        </w:tc>
        <w:tc>
          <w:tcPr>
            <w:tcW w:w="427" w:type="pct"/>
            <w:hideMark/>
          </w:tcPr>
          <w:p w14:paraId="3FB02C92"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73</w:t>
            </w:r>
          </w:p>
        </w:tc>
      </w:tr>
      <w:tr w:rsidR="002B3948" w:rsidRPr="00DA5939" w14:paraId="5F575002" w14:textId="77777777" w:rsidTr="00501AE9">
        <w:tc>
          <w:tcPr>
            <w:cnfStyle w:val="001000000000" w:firstRow="0" w:lastRow="0" w:firstColumn="1" w:lastColumn="0" w:oddVBand="0" w:evenVBand="0" w:oddHBand="0" w:evenHBand="0" w:firstRowFirstColumn="0" w:firstRowLastColumn="0" w:lastRowFirstColumn="0" w:lastRowLastColumn="0"/>
            <w:tcW w:w="2521" w:type="pct"/>
            <w:vMerge/>
            <w:hideMark/>
          </w:tcPr>
          <w:p w14:paraId="03FD2A00" w14:textId="77777777" w:rsidR="002B3948" w:rsidRPr="00DA5939" w:rsidRDefault="002B3948" w:rsidP="00501AE9">
            <w:pPr>
              <w:rPr>
                <w:rFonts w:cs="Times New Roman"/>
                <w:b w:val="0"/>
                <w:sz w:val="20"/>
              </w:rPr>
            </w:pPr>
          </w:p>
        </w:tc>
        <w:tc>
          <w:tcPr>
            <w:tcW w:w="2052" w:type="pct"/>
            <w:hideMark/>
          </w:tcPr>
          <w:p w14:paraId="2240FAB9" w14:textId="77777777" w:rsidR="002B3948" w:rsidRPr="00DA5939" w:rsidRDefault="002B3948" w:rsidP="00501AE9">
            <w:pPr>
              <w:cnfStyle w:val="000000000000" w:firstRow="0" w:lastRow="0" w:firstColumn="0" w:lastColumn="0" w:oddVBand="0" w:evenVBand="0" w:oddHBand="0" w:evenHBand="0" w:firstRowFirstColumn="0" w:firstRowLastColumn="0" w:lastRowFirstColumn="0" w:lastRowLastColumn="0"/>
              <w:rPr>
                <w:rFonts w:cs="Times New Roman"/>
                <w:sz w:val="20"/>
              </w:rPr>
            </w:pPr>
            <w:r w:rsidRPr="00DA5939">
              <w:rPr>
                <w:rFonts w:cs="Times New Roman"/>
                <w:sz w:val="20"/>
              </w:rPr>
              <w:t>Not aware</w:t>
            </w:r>
          </w:p>
        </w:tc>
        <w:tc>
          <w:tcPr>
            <w:tcW w:w="427" w:type="pct"/>
            <w:hideMark/>
          </w:tcPr>
          <w:p w14:paraId="31DF51F1" w14:textId="77777777" w:rsidR="002B3948" w:rsidRPr="00DA5939" w:rsidRDefault="002B3948" w:rsidP="00501AE9">
            <w:pPr>
              <w:cnfStyle w:val="000000000000" w:firstRow="0" w:lastRow="0" w:firstColumn="0" w:lastColumn="0" w:oddVBand="0" w:evenVBand="0" w:oddHBand="0" w:evenHBand="0" w:firstRowFirstColumn="0" w:firstRowLastColumn="0" w:lastRowFirstColumn="0" w:lastRowLastColumn="0"/>
              <w:rPr>
                <w:rFonts w:cs="Times New Roman"/>
                <w:sz w:val="20"/>
              </w:rPr>
            </w:pPr>
            <w:r w:rsidRPr="00DA5939">
              <w:rPr>
                <w:rFonts w:cs="Times New Roman"/>
                <w:sz w:val="20"/>
              </w:rPr>
              <w:t>27</w:t>
            </w:r>
          </w:p>
        </w:tc>
      </w:tr>
      <w:tr w:rsidR="002B3948" w:rsidRPr="00DA5939" w14:paraId="33ACABF9" w14:textId="77777777" w:rsidTr="00501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1" w:type="pct"/>
            <w:vMerge w:val="restart"/>
            <w:hideMark/>
          </w:tcPr>
          <w:p w14:paraId="33A5452D" w14:textId="77777777" w:rsidR="002B3948" w:rsidRPr="00DA5939" w:rsidRDefault="002B3948" w:rsidP="00501AE9">
            <w:pPr>
              <w:rPr>
                <w:rFonts w:cs="Times New Roman"/>
                <w:b w:val="0"/>
                <w:sz w:val="20"/>
              </w:rPr>
            </w:pPr>
            <w:r w:rsidRPr="00DA5939">
              <w:rPr>
                <w:rFonts w:cs="Times New Roman"/>
                <w:b w:val="0"/>
                <w:sz w:val="20"/>
              </w:rPr>
              <w:t>Participation in CGD</w:t>
            </w:r>
          </w:p>
        </w:tc>
        <w:tc>
          <w:tcPr>
            <w:tcW w:w="2052" w:type="pct"/>
            <w:hideMark/>
          </w:tcPr>
          <w:p w14:paraId="665BB121"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None</w:t>
            </w:r>
          </w:p>
        </w:tc>
        <w:tc>
          <w:tcPr>
            <w:tcW w:w="427" w:type="pct"/>
            <w:hideMark/>
          </w:tcPr>
          <w:p w14:paraId="66A71A66"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53</w:t>
            </w:r>
          </w:p>
        </w:tc>
      </w:tr>
      <w:tr w:rsidR="002B3948" w:rsidRPr="00DA5939" w14:paraId="40C5354F" w14:textId="77777777" w:rsidTr="00501AE9">
        <w:tc>
          <w:tcPr>
            <w:cnfStyle w:val="001000000000" w:firstRow="0" w:lastRow="0" w:firstColumn="1" w:lastColumn="0" w:oddVBand="0" w:evenVBand="0" w:oddHBand="0" w:evenHBand="0" w:firstRowFirstColumn="0" w:firstRowLastColumn="0" w:lastRowFirstColumn="0" w:lastRowLastColumn="0"/>
            <w:tcW w:w="2521" w:type="pct"/>
            <w:vMerge/>
            <w:hideMark/>
          </w:tcPr>
          <w:p w14:paraId="024E3F09" w14:textId="77777777" w:rsidR="002B3948" w:rsidRPr="00DA5939" w:rsidRDefault="002B3948" w:rsidP="00501AE9">
            <w:pPr>
              <w:rPr>
                <w:rFonts w:cs="Times New Roman"/>
                <w:b w:val="0"/>
                <w:sz w:val="20"/>
              </w:rPr>
            </w:pPr>
          </w:p>
        </w:tc>
        <w:tc>
          <w:tcPr>
            <w:tcW w:w="2052" w:type="pct"/>
            <w:hideMark/>
          </w:tcPr>
          <w:p w14:paraId="0ED4EC01" w14:textId="77777777" w:rsidR="002B3948" w:rsidRPr="00DA5939" w:rsidRDefault="002B3948" w:rsidP="00501AE9">
            <w:pPr>
              <w:cnfStyle w:val="000000000000" w:firstRow="0" w:lastRow="0" w:firstColumn="0" w:lastColumn="0" w:oddVBand="0" w:evenVBand="0" w:oddHBand="0" w:evenHBand="0" w:firstRowFirstColumn="0" w:firstRowLastColumn="0" w:lastRowFirstColumn="0" w:lastRowLastColumn="0"/>
              <w:rPr>
                <w:rFonts w:cs="Times New Roman"/>
                <w:sz w:val="20"/>
              </w:rPr>
            </w:pPr>
            <w:r w:rsidRPr="00DA5939">
              <w:rPr>
                <w:rFonts w:cs="Times New Roman"/>
                <w:sz w:val="20"/>
              </w:rPr>
              <w:t>Short-term training</w:t>
            </w:r>
          </w:p>
        </w:tc>
        <w:tc>
          <w:tcPr>
            <w:tcW w:w="427" w:type="pct"/>
            <w:hideMark/>
          </w:tcPr>
          <w:p w14:paraId="196E8A88" w14:textId="77777777" w:rsidR="002B3948" w:rsidRPr="00DA5939" w:rsidRDefault="002B3948" w:rsidP="00501AE9">
            <w:pPr>
              <w:cnfStyle w:val="000000000000" w:firstRow="0" w:lastRow="0" w:firstColumn="0" w:lastColumn="0" w:oddVBand="0" w:evenVBand="0" w:oddHBand="0" w:evenHBand="0" w:firstRowFirstColumn="0" w:firstRowLastColumn="0" w:lastRowFirstColumn="0" w:lastRowLastColumn="0"/>
              <w:rPr>
                <w:rFonts w:cs="Times New Roman"/>
                <w:sz w:val="20"/>
              </w:rPr>
            </w:pPr>
            <w:r w:rsidRPr="00DA5939">
              <w:rPr>
                <w:rFonts w:cs="Times New Roman"/>
                <w:sz w:val="20"/>
              </w:rPr>
              <w:t>—</w:t>
            </w:r>
          </w:p>
        </w:tc>
      </w:tr>
      <w:tr w:rsidR="002B3948" w:rsidRPr="00DA5939" w14:paraId="4C796075" w14:textId="77777777" w:rsidTr="00501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1" w:type="pct"/>
            <w:vMerge/>
            <w:hideMark/>
          </w:tcPr>
          <w:p w14:paraId="689AF07D" w14:textId="77777777" w:rsidR="002B3948" w:rsidRPr="00DA5939" w:rsidRDefault="002B3948" w:rsidP="00501AE9">
            <w:pPr>
              <w:rPr>
                <w:rFonts w:cs="Times New Roman"/>
                <w:b w:val="0"/>
                <w:sz w:val="20"/>
              </w:rPr>
            </w:pPr>
          </w:p>
        </w:tc>
        <w:tc>
          <w:tcPr>
            <w:tcW w:w="2052" w:type="pct"/>
            <w:hideMark/>
          </w:tcPr>
          <w:p w14:paraId="1B08CE9E"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Medium-term training</w:t>
            </w:r>
          </w:p>
        </w:tc>
        <w:tc>
          <w:tcPr>
            <w:tcW w:w="427" w:type="pct"/>
            <w:hideMark/>
          </w:tcPr>
          <w:p w14:paraId="3BEB49C2"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24</w:t>
            </w:r>
          </w:p>
        </w:tc>
      </w:tr>
      <w:tr w:rsidR="002B3948" w:rsidRPr="00DA5939" w14:paraId="03541ECF" w14:textId="77777777" w:rsidTr="00501AE9">
        <w:tc>
          <w:tcPr>
            <w:cnfStyle w:val="001000000000" w:firstRow="0" w:lastRow="0" w:firstColumn="1" w:lastColumn="0" w:oddVBand="0" w:evenVBand="0" w:oddHBand="0" w:evenHBand="0" w:firstRowFirstColumn="0" w:firstRowLastColumn="0" w:lastRowFirstColumn="0" w:lastRowLastColumn="0"/>
            <w:tcW w:w="2521" w:type="pct"/>
            <w:vMerge/>
            <w:hideMark/>
          </w:tcPr>
          <w:p w14:paraId="67763F32" w14:textId="77777777" w:rsidR="002B3948" w:rsidRPr="00DA5939" w:rsidRDefault="002B3948" w:rsidP="00501AE9">
            <w:pPr>
              <w:rPr>
                <w:rFonts w:cs="Times New Roman"/>
                <w:b w:val="0"/>
                <w:sz w:val="20"/>
              </w:rPr>
            </w:pPr>
          </w:p>
        </w:tc>
        <w:tc>
          <w:tcPr>
            <w:tcW w:w="2052" w:type="pct"/>
            <w:hideMark/>
          </w:tcPr>
          <w:p w14:paraId="3E634113" w14:textId="77777777" w:rsidR="002B3948" w:rsidRPr="00DA5939" w:rsidRDefault="002B3948" w:rsidP="00501AE9">
            <w:pPr>
              <w:cnfStyle w:val="000000000000" w:firstRow="0" w:lastRow="0" w:firstColumn="0" w:lastColumn="0" w:oddVBand="0" w:evenVBand="0" w:oddHBand="0" w:evenHBand="0" w:firstRowFirstColumn="0" w:firstRowLastColumn="0" w:lastRowFirstColumn="0" w:lastRowLastColumn="0"/>
              <w:rPr>
                <w:rFonts w:cs="Times New Roman"/>
                <w:sz w:val="20"/>
              </w:rPr>
            </w:pPr>
            <w:r w:rsidRPr="00DA5939">
              <w:rPr>
                <w:rFonts w:cs="Times New Roman"/>
                <w:sz w:val="20"/>
              </w:rPr>
              <w:t>Long-term training</w:t>
            </w:r>
          </w:p>
        </w:tc>
        <w:tc>
          <w:tcPr>
            <w:tcW w:w="427" w:type="pct"/>
            <w:hideMark/>
          </w:tcPr>
          <w:p w14:paraId="00C43C90" w14:textId="77777777" w:rsidR="002B3948" w:rsidRPr="00DA5939" w:rsidRDefault="002B3948" w:rsidP="00501AE9">
            <w:pPr>
              <w:cnfStyle w:val="000000000000" w:firstRow="0" w:lastRow="0" w:firstColumn="0" w:lastColumn="0" w:oddVBand="0" w:evenVBand="0" w:oddHBand="0" w:evenHBand="0" w:firstRowFirstColumn="0" w:firstRowLastColumn="0" w:lastRowFirstColumn="0" w:lastRowLastColumn="0"/>
              <w:rPr>
                <w:rFonts w:cs="Times New Roman"/>
                <w:sz w:val="20"/>
              </w:rPr>
            </w:pPr>
            <w:r w:rsidRPr="00DA5939">
              <w:rPr>
                <w:rFonts w:cs="Times New Roman"/>
                <w:sz w:val="20"/>
              </w:rPr>
              <w:t>9</w:t>
            </w:r>
          </w:p>
        </w:tc>
      </w:tr>
      <w:tr w:rsidR="002B3948" w:rsidRPr="00DA5939" w14:paraId="6451DDB5" w14:textId="77777777" w:rsidTr="00501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1" w:type="pct"/>
            <w:vMerge w:val="restart"/>
            <w:shd w:val="clear" w:color="auto" w:fill="auto"/>
            <w:hideMark/>
          </w:tcPr>
          <w:p w14:paraId="4D2E8B0B" w14:textId="77777777" w:rsidR="002B3948" w:rsidRPr="00DA5939" w:rsidRDefault="002B3948" w:rsidP="00501AE9">
            <w:pPr>
              <w:rPr>
                <w:rFonts w:cs="Times New Roman"/>
                <w:b w:val="0"/>
                <w:sz w:val="20"/>
              </w:rPr>
            </w:pPr>
            <w:r w:rsidRPr="00DA5939">
              <w:rPr>
                <w:rFonts w:cs="Times New Roman"/>
                <w:b w:val="0"/>
                <w:sz w:val="20"/>
              </w:rPr>
              <w:t>Self-rated CGD knowledge</w:t>
            </w:r>
          </w:p>
        </w:tc>
        <w:tc>
          <w:tcPr>
            <w:tcW w:w="2052" w:type="pct"/>
            <w:hideMark/>
          </w:tcPr>
          <w:p w14:paraId="0D9911E8"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Very limited</w:t>
            </w:r>
          </w:p>
        </w:tc>
        <w:tc>
          <w:tcPr>
            <w:tcW w:w="427" w:type="pct"/>
            <w:hideMark/>
          </w:tcPr>
          <w:p w14:paraId="4450A189"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5</w:t>
            </w:r>
          </w:p>
        </w:tc>
      </w:tr>
      <w:tr w:rsidR="002B3948" w:rsidRPr="00DA5939" w14:paraId="69B1B7A1" w14:textId="77777777" w:rsidTr="00501AE9">
        <w:tc>
          <w:tcPr>
            <w:cnfStyle w:val="001000000000" w:firstRow="0" w:lastRow="0" w:firstColumn="1" w:lastColumn="0" w:oddVBand="0" w:evenVBand="0" w:oddHBand="0" w:evenHBand="0" w:firstRowFirstColumn="0" w:firstRowLastColumn="0" w:lastRowFirstColumn="0" w:lastRowLastColumn="0"/>
            <w:tcW w:w="2521" w:type="pct"/>
            <w:vMerge/>
            <w:hideMark/>
          </w:tcPr>
          <w:p w14:paraId="33B359E6" w14:textId="77777777" w:rsidR="002B3948" w:rsidRPr="00DA5939" w:rsidRDefault="002B3948" w:rsidP="00501AE9">
            <w:pPr>
              <w:rPr>
                <w:rFonts w:cs="Times New Roman"/>
                <w:sz w:val="20"/>
              </w:rPr>
            </w:pPr>
          </w:p>
        </w:tc>
        <w:tc>
          <w:tcPr>
            <w:tcW w:w="2052" w:type="pct"/>
            <w:hideMark/>
          </w:tcPr>
          <w:p w14:paraId="028C8AAD" w14:textId="77777777" w:rsidR="002B3948" w:rsidRPr="00DA5939" w:rsidRDefault="002B3948" w:rsidP="00501AE9">
            <w:pPr>
              <w:cnfStyle w:val="000000000000" w:firstRow="0" w:lastRow="0" w:firstColumn="0" w:lastColumn="0" w:oddVBand="0" w:evenVBand="0" w:oddHBand="0" w:evenHBand="0" w:firstRowFirstColumn="0" w:firstRowLastColumn="0" w:lastRowFirstColumn="0" w:lastRowLastColumn="0"/>
              <w:rPr>
                <w:rFonts w:cs="Times New Roman"/>
                <w:sz w:val="20"/>
              </w:rPr>
            </w:pPr>
            <w:r w:rsidRPr="00DA5939">
              <w:rPr>
                <w:rFonts w:cs="Times New Roman"/>
                <w:sz w:val="20"/>
              </w:rPr>
              <w:t>Limited</w:t>
            </w:r>
          </w:p>
        </w:tc>
        <w:tc>
          <w:tcPr>
            <w:tcW w:w="427" w:type="pct"/>
            <w:hideMark/>
          </w:tcPr>
          <w:p w14:paraId="64B0B236" w14:textId="77777777" w:rsidR="002B3948" w:rsidRPr="00DA5939" w:rsidRDefault="002B3948" w:rsidP="00501AE9">
            <w:pPr>
              <w:cnfStyle w:val="000000000000" w:firstRow="0" w:lastRow="0" w:firstColumn="0" w:lastColumn="0" w:oddVBand="0" w:evenVBand="0" w:oddHBand="0" w:evenHBand="0" w:firstRowFirstColumn="0" w:firstRowLastColumn="0" w:lastRowFirstColumn="0" w:lastRowLastColumn="0"/>
              <w:rPr>
                <w:rFonts w:cs="Times New Roman"/>
                <w:sz w:val="20"/>
              </w:rPr>
            </w:pPr>
            <w:r w:rsidRPr="00DA5939">
              <w:rPr>
                <w:rFonts w:cs="Times New Roman"/>
                <w:sz w:val="20"/>
              </w:rPr>
              <w:t>54</w:t>
            </w:r>
          </w:p>
        </w:tc>
      </w:tr>
      <w:tr w:rsidR="002B3948" w:rsidRPr="00DA5939" w14:paraId="31C0CD36" w14:textId="77777777" w:rsidTr="00501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1" w:type="pct"/>
            <w:vMerge/>
            <w:shd w:val="clear" w:color="auto" w:fill="auto"/>
            <w:hideMark/>
          </w:tcPr>
          <w:p w14:paraId="61DE8F8D" w14:textId="77777777" w:rsidR="002B3948" w:rsidRPr="00DA5939" w:rsidRDefault="002B3948" w:rsidP="00501AE9">
            <w:pPr>
              <w:rPr>
                <w:rFonts w:cs="Times New Roman"/>
                <w:sz w:val="20"/>
              </w:rPr>
            </w:pPr>
          </w:p>
        </w:tc>
        <w:tc>
          <w:tcPr>
            <w:tcW w:w="2052" w:type="pct"/>
            <w:hideMark/>
          </w:tcPr>
          <w:p w14:paraId="3235FBED"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Moderate or above</w:t>
            </w:r>
          </w:p>
        </w:tc>
        <w:tc>
          <w:tcPr>
            <w:tcW w:w="427" w:type="pct"/>
            <w:hideMark/>
          </w:tcPr>
          <w:p w14:paraId="5C0E758F"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w:t>
            </w:r>
          </w:p>
        </w:tc>
      </w:tr>
    </w:tbl>
    <w:p w14:paraId="4C8D576D" w14:textId="77777777" w:rsidR="002B3948" w:rsidRPr="006E7585" w:rsidRDefault="002B3948" w:rsidP="002B3948">
      <w:pPr>
        <w:pStyle w:val="NormalWeb"/>
      </w:pPr>
      <w:r w:rsidRPr="006E7585">
        <w:rPr>
          <w:rStyle w:val="Emphasis"/>
        </w:rPr>
        <w:t>Note.</w:t>
      </w:r>
      <w:r w:rsidRPr="006E7585">
        <w:t xml:space="preserve"> Dashes indicate values not explicitly disaggregated in the dataset summary.</w:t>
      </w:r>
    </w:p>
    <w:p w14:paraId="655FBD06" w14:textId="77777777" w:rsidR="002B3948" w:rsidRPr="008A1E10" w:rsidRDefault="002B3948" w:rsidP="002B3948">
      <w:pPr>
        <w:rPr>
          <w:rFonts w:cs="Times New Roman"/>
          <w:b/>
          <w:szCs w:val="24"/>
        </w:rPr>
      </w:pPr>
      <w:r>
        <w:rPr>
          <w:rFonts w:cs="Times New Roman"/>
          <w:b/>
          <w:szCs w:val="24"/>
        </w:rPr>
        <w:t xml:space="preserve">5.3 </w:t>
      </w:r>
      <w:r w:rsidRPr="008A1E10">
        <w:rPr>
          <w:rFonts w:cs="Times New Roman"/>
          <w:b/>
          <w:szCs w:val="24"/>
        </w:rPr>
        <w:t>Perceived Need for CGD Training</w:t>
      </w:r>
    </w:p>
    <w:p w14:paraId="24E37383" w14:textId="77777777" w:rsidR="002B3948" w:rsidRPr="006E7585" w:rsidRDefault="002B3948" w:rsidP="002B3948">
      <w:pPr>
        <w:pStyle w:val="NormalWeb"/>
      </w:pPr>
      <w:r w:rsidRPr="006E7585">
        <w:t xml:space="preserve">An overwhelming majority of teachers (88%) agreed or strongly agreed that there is a need for CGD training. Furthermore, all participants indicated that trained teachers are important in supporting learners’ career choices and educational transitions, with 86% rating this role as either </w:t>
      </w:r>
      <w:r w:rsidRPr="006E7585">
        <w:rPr>
          <w:rStyle w:val="Emphasis"/>
        </w:rPr>
        <w:t>extremely important</w:t>
      </w:r>
      <w:r w:rsidRPr="006E7585">
        <w:t xml:space="preserve"> or </w:t>
      </w:r>
      <w:r w:rsidRPr="006E7585">
        <w:rPr>
          <w:rStyle w:val="Emphasis"/>
        </w:rPr>
        <w:t>very important</w:t>
      </w:r>
      <w:r w:rsidRPr="006E7585">
        <w:t>. These findings reflect strong professional recognition of CGD as a core competency under CBC/CBE.</w:t>
      </w:r>
    </w:p>
    <w:p w14:paraId="44D32462" w14:textId="77777777" w:rsidR="002B3948" w:rsidRPr="006E7585" w:rsidRDefault="002B3948" w:rsidP="002B3948">
      <w:pPr>
        <w:pStyle w:val="NormalWeb"/>
      </w:pPr>
      <w:r w:rsidRPr="006E7585">
        <w:rPr>
          <w:rStyle w:val="Strong"/>
        </w:rPr>
        <w:t>Table 3</w:t>
      </w:r>
      <w:r>
        <w:rPr>
          <w:rStyle w:val="Strong"/>
        </w:rPr>
        <w:t xml:space="preserve">: </w:t>
      </w:r>
      <w:r w:rsidRPr="002322F0">
        <w:rPr>
          <w:rStyle w:val="Emphasis"/>
          <w:b/>
          <w:bCs/>
          <w:i w:val="0"/>
          <w:iCs w:val="0"/>
        </w:rPr>
        <w:t>Perceived Need and Importance of CGD Training</w:t>
      </w:r>
    </w:p>
    <w:tbl>
      <w:tblPr>
        <w:tblStyle w:val="PlainTable1"/>
        <w:tblW w:w="5000" w:type="pct"/>
        <w:tblLook w:val="04A0" w:firstRow="1" w:lastRow="0" w:firstColumn="1" w:lastColumn="0" w:noHBand="0" w:noVBand="1"/>
      </w:tblPr>
      <w:tblGrid>
        <w:gridCol w:w="5306"/>
        <w:gridCol w:w="3201"/>
        <w:gridCol w:w="509"/>
      </w:tblGrid>
      <w:tr w:rsidR="002B3948" w:rsidRPr="00DA5939" w14:paraId="43567189" w14:textId="77777777" w:rsidTr="00501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pct"/>
            <w:hideMark/>
          </w:tcPr>
          <w:p w14:paraId="73279B7D" w14:textId="77777777" w:rsidR="002B3948" w:rsidRPr="00DA5939" w:rsidRDefault="002B3948" w:rsidP="00501AE9">
            <w:pPr>
              <w:rPr>
                <w:rFonts w:cs="Times New Roman"/>
                <w:sz w:val="20"/>
              </w:rPr>
            </w:pPr>
            <w:r w:rsidRPr="00DA5939">
              <w:rPr>
                <w:rFonts w:cs="Times New Roman"/>
                <w:bCs w:val="0"/>
                <w:sz w:val="20"/>
              </w:rPr>
              <w:t>Item</w:t>
            </w:r>
          </w:p>
        </w:tc>
        <w:tc>
          <w:tcPr>
            <w:tcW w:w="1775" w:type="pct"/>
            <w:hideMark/>
          </w:tcPr>
          <w:p w14:paraId="51850D16" w14:textId="77777777" w:rsidR="002B3948" w:rsidRPr="00DA5939" w:rsidRDefault="002B3948" w:rsidP="00501AE9">
            <w:pPr>
              <w:cnfStyle w:val="100000000000" w:firstRow="1" w:lastRow="0" w:firstColumn="0" w:lastColumn="0" w:oddVBand="0" w:evenVBand="0" w:oddHBand="0" w:evenHBand="0" w:firstRowFirstColumn="0" w:firstRowLastColumn="0" w:lastRowFirstColumn="0" w:lastRowLastColumn="0"/>
              <w:rPr>
                <w:rFonts w:cs="Times New Roman"/>
                <w:bCs w:val="0"/>
                <w:sz w:val="20"/>
              </w:rPr>
            </w:pPr>
            <w:r w:rsidRPr="00DA5939">
              <w:rPr>
                <w:rFonts w:cs="Times New Roman"/>
                <w:bCs w:val="0"/>
                <w:sz w:val="20"/>
              </w:rPr>
              <w:t>Response</w:t>
            </w:r>
          </w:p>
        </w:tc>
        <w:tc>
          <w:tcPr>
            <w:tcW w:w="282" w:type="pct"/>
            <w:hideMark/>
          </w:tcPr>
          <w:p w14:paraId="7853D670" w14:textId="77777777" w:rsidR="002B3948" w:rsidRPr="00DA5939" w:rsidRDefault="002B3948" w:rsidP="00501AE9">
            <w:pPr>
              <w:cnfStyle w:val="100000000000" w:firstRow="1" w:lastRow="0" w:firstColumn="0" w:lastColumn="0" w:oddVBand="0" w:evenVBand="0" w:oddHBand="0" w:evenHBand="0" w:firstRowFirstColumn="0" w:firstRowLastColumn="0" w:lastRowFirstColumn="0" w:lastRowLastColumn="0"/>
              <w:rPr>
                <w:rFonts w:cs="Times New Roman"/>
                <w:bCs w:val="0"/>
                <w:sz w:val="20"/>
              </w:rPr>
            </w:pPr>
            <w:r w:rsidRPr="00DA5939">
              <w:rPr>
                <w:rFonts w:cs="Times New Roman"/>
                <w:bCs w:val="0"/>
                <w:sz w:val="20"/>
              </w:rPr>
              <w:t>%</w:t>
            </w:r>
          </w:p>
        </w:tc>
      </w:tr>
      <w:tr w:rsidR="002B3948" w:rsidRPr="00DA5939" w14:paraId="3E470715" w14:textId="77777777" w:rsidTr="00501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pct"/>
            <w:vMerge w:val="restart"/>
            <w:hideMark/>
          </w:tcPr>
          <w:p w14:paraId="664E6F81" w14:textId="77777777" w:rsidR="002B3948" w:rsidRPr="00DA5939" w:rsidRDefault="002B3948" w:rsidP="00501AE9">
            <w:pPr>
              <w:rPr>
                <w:rFonts w:cs="Times New Roman"/>
                <w:b w:val="0"/>
                <w:bCs w:val="0"/>
                <w:sz w:val="20"/>
              </w:rPr>
            </w:pPr>
            <w:r w:rsidRPr="00DA5939">
              <w:rPr>
                <w:rFonts w:cs="Times New Roman"/>
                <w:b w:val="0"/>
                <w:sz w:val="20"/>
              </w:rPr>
              <w:t>Need for CGD training</w:t>
            </w:r>
          </w:p>
        </w:tc>
        <w:tc>
          <w:tcPr>
            <w:tcW w:w="1775" w:type="pct"/>
            <w:hideMark/>
          </w:tcPr>
          <w:p w14:paraId="6A18A6CA"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Strongly agree</w:t>
            </w:r>
          </w:p>
        </w:tc>
        <w:tc>
          <w:tcPr>
            <w:tcW w:w="282" w:type="pct"/>
            <w:hideMark/>
          </w:tcPr>
          <w:p w14:paraId="4EC3880C"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55</w:t>
            </w:r>
          </w:p>
        </w:tc>
      </w:tr>
      <w:tr w:rsidR="002B3948" w:rsidRPr="00DA5939" w14:paraId="413D7F48" w14:textId="77777777" w:rsidTr="00501AE9">
        <w:tc>
          <w:tcPr>
            <w:cnfStyle w:val="001000000000" w:firstRow="0" w:lastRow="0" w:firstColumn="1" w:lastColumn="0" w:oddVBand="0" w:evenVBand="0" w:oddHBand="0" w:evenHBand="0" w:firstRowFirstColumn="0" w:firstRowLastColumn="0" w:lastRowFirstColumn="0" w:lastRowLastColumn="0"/>
            <w:tcW w:w="2943" w:type="pct"/>
            <w:vMerge/>
            <w:hideMark/>
          </w:tcPr>
          <w:p w14:paraId="45E7787C" w14:textId="77777777" w:rsidR="002B3948" w:rsidRPr="00DA5939" w:rsidRDefault="002B3948" w:rsidP="00501AE9">
            <w:pPr>
              <w:rPr>
                <w:rFonts w:cs="Times New Roman"/>
                <w:b w:val="0"/>
                <w:sz w:val="20"/>
              </w:rPr>
            </w:pPr>
          </w:p>
        </w:tc>
        <w:tc>
          <w:tcPr>
            <w:tcW w:w="1775" w:type="pct"/>
            <w:hideMark/>
          </w:tcPr>
          <w:p w14:paraId="5C060E4D" w14:textId="77777777" w:rsidR="002B3948" w:rsidRPr="00DA5939" w:rsidRDefault="002B3948" w:rsidP="00501AE9">
            <w:pPr>
              <w:cnfStyle w:val="000000000000" w:firstRow="0" w:lastRow="0" w:firstColumn="0" w:lastColumn="0" w:oddVBand="0" w:evenVBand="0" w:oddHBand="0" w:evenHBand="0" w:firstRowFirstColumn="0" w:firstRowLastColumn="0" w:lastRowFirstColumn="0" w:lastRowLastColumn="0"/>
              <w:rPr>
                <w:rFonts w:cs="Times New Roman"/>
                <w:sz w:val="20"/>
              </w:rPr>
            </w:pPr>
            <w:r w:rsidRPr="00DA5939">
              <w:rPr>
                <w:rFonts w:cs="Times New Roman"/>
                <w:sz w:val="20"/>
              </w:rPr>
              <w:t>Agree</w:t>
            </w:r>
          </w:p>
        </w:tc>
        <w:tc>
          <w:tcPr>
            <w:tcW w:w="282" w:type="pct"/>
            <w:hideMark/>
          </w:tcPr>
          <w:p w14:paraId="6F5F9755" w14:textId="77777777" w:rsidR="002B3948" w:rsidRPr="00DA5939" w:rsidRDefault="002B3948" w:rsidP="00501AE9">
            <w:pPr>
              <w:cnfStyle w:val="000000000000" w:firstRow="0" w:lastRow="0" w:firstColumn="0" w:lastColumn="0" w:oddVBand="0" w:evenVBand="0" w:oddHBand="0" w:evenHBand="0" w:firstRowFirstColumn="0" w:firstRowLastColumn="0" w:lastRowFirstColumn="0" w:lastRowLastColumn="0"/>
              <w:rPr>
                <w:rFonts w:cs="Times New Roman"/>
                <w:sz w:val="20"/>
              </w:rPr>
            </w:pPr>
            <w:r w:rsidRPr="00DA5939">
              <w:rPr>
                <w:rFonts w:cs="Times New Roman"/>
                <w:sz w:val="20"/>
              </w:rPr>
              <w:t>33</w:t>
            </w:r>
          </w:p>
        </w:tc>
      </w:tr>
      <w:tr w:rsidR="002B3948" w:rsidRPr="00DA5939" w14:paraId="1EFD3373" w14:textId="77777777" w:rsidTr="00501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pct"/>
            <w:vMerge w:val="restart"/>
            <w:shd w:val="clear" w:color="auto" w:fill="auto"/>
            <w:hideMark/>
          </w:tcPr>
          <w:p w14:paraId="6F48BA1B" w14:textId="77777777" w:rsidR="002B3948" w:rsidRPr="00DA5939" w:rsidRDefault="002B3948" w:rsidP="00501AE9">
            <w:pPr>
              <w:rPr>
                <w:rFonts w:cs="Times New Roman"/>
                <w:b w:val="0"/>
                <w:sz w:val="20"/>
              </w:rPr>
            </w:pPr>
            <w:r w:rsidRPr="00DA5939">
              <w:rPr>
                <w:rFonts w:cs="Times New Roman"/>
                <w:b w:val="0"/>
                <w:sz w:val="20"/>
              </w:rPr>
              <w:t>Importance of trained teachers in learner transitions</w:t>
            </w:r>
          </w:p>
        </w:tc>
        <w:tc>
          <w:tcPr>
            <w:tcW w:w="1775" w:type="pct"/>
            <w:hideMark/>
          </w:tcPr>
          <w:p w14:paraId="54188C8D"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Extremely important</w:t>
            </w:r>
          </w:p>
        </w:tc>
        <w:tc>
          <w:tcPr>
            <w:tcW w:w="282" w:type="pct"/>
            <w:hideMark/>
          </w:tcPr>
          <w:p w14:paraId="4CD4E90B"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42</w:t>
            </w:r>
          </w:p>
        </w:tc>
      </w:tr>
      <w:tr w:rsidR="002B3948" w:rsidRPr="00DA5939" w14:paraId="6915885C" w14:textId="77777777" w:rsidTr="00501AE9">
        <w:tc>
          <w:tcPr>
            <w:cnfStyle w:val="001000000000" w:firstRow="0" w:lastRow="0" w:firstColumn="1" w:lastColumn="0" w:oddVBand="0" w:evenVBand="0" w:oddHBand="0" w:evenHBand="0" w:firstRowFirstColumn="0" w:firstRowLastColumn="0" w:lastRowFirstColumn="0" w:lastRowLastColumn="0"/>
            <w:tcW w:w="2943" w:type="pct"/>
            <w:vMerge/>
            <w:hideMark/>
          </w:tcPr>
          <w:p w14:paraId="72AB7E31" w14:textId="77777777" w:rsidR="002B3948" w:rsidRPr="00DA5939" w:rsidRDefault="002B3948" w:rsidP="00501AE9">
            <w:pPr>
              <w:rPr>
                <w:rFonts w:cs="Times New Roman"/>
                <w:sz w:val="20"/>
              </w:rPr>
            </w:pPr>
          </w:p>
        </w:tc>
        <w:tc>
          <w:tcPr>
            <w:tcW w:w="1775" w:type="pct"/>
            <w:hideMark/>
          </w:tcPr>
          <w:p w14:paraId="38151F94" w14:textId="77777777" w:rsidR="002B3948" w:rsidRPr="00DA5939" w:rsidRDefault="002B3948" w:rsidP="00501AE9">
            <w:pPr>
              <w:cnfStyle w:val="000000000000" w:firstRow="0" w:lastRow="0" w:firstColumn="0" w:lastColumn="0" w:oddVBand="0" w:evenVBand="0" w:oddHBand="0" w:evenHBand="0" w:firstRowFirstColumn="0" w:firstRowLastColumn="0" w:lastRowFirstColumn="0" w:lastRowLastColumn="0"/>
              <w:rPr>
                <w:rFonts w:cs="Times New Roman"/>
                <w:sz w:val="20"/>
              </w:rPr>
            </w:pPr>
            <w:r w:rsidRPr="00DA5939">
              <w:rPr>
                <w:rFonts w:cs="Times New Roman"/>
                <w:sz w:val="20"/>
              </w:rPr>
              <w:t>Very important</w:t>
            </w:r>
          </w:p>
        </w:tc>
        <w:tc>
          <w:tcPr>
            <w:tcW w:w="282" w:type="pct"/>
            <w:hideMark/>
          </w:tcPr>
          <w:p w14:paraId="1D693B52" w14:textId="77777777" w:rsidR="002B3948" w:rsidRPr="00DA5939" w:rsidRDefault="002B3948" w:rsidP="00501AE9">
            <w:pPr>
              <w:cnfStyle w:val="000000000000" w:firstRow="0" w:lastRow="0" w:firstColumn="0" w:lastColumn="0" w:oddVBand="0" w:evenVBand="0" w:oddHBand="0" w:evenHBand="0" w:firstRowFirstColumn="0" w:firstRowLastColumn="0" w:lastRowFirstColumn="0" w:lastRowLastColumn="0"/>
              <w:rPr>
                <w:rFonts w:cs="Times New Roman"/>
                <w:sz w:val="20"/>
              </w:rPr>
            </w:pPr>
            <w:r w:rsidRPr="00DA5939">
              <w:rPr>
                <w:rFonts w:cs="Times New Roman"/>
                <w:sz w:val="20"/>
              </w:rPr>
              <w:t>44</w:t>
            </w:r>
          </w:p>
        </w:tc>
      </w:tr>
      <w:tr w:rsidR="002B3948" w:rsidRPr="00DA5939" w14:paraId="497C8996" w14:textId="77777777" w:rsidTr="00501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pct"/>
            <w:vMerge/>
            <w:shd w:val="clear" w:color="auto" w:fill="auto"/>
            <w:hideMark/>
          </w:tcPr>
          <w:p w14:paraId="7A1D2DE0" w14:textId="77777777" w:rsidR="002B3948" w:rsidRPr="00DA5939" w:rsidRDefault="002B3948" w:rsidP="00501AE9">
            <w:pPr>
              <w:rPr>
                <w:rFonts w:cs="Times New Roman"/>
                <w:sz w:val="20"/>
              </w:rPr>
            </w:pPr>
          </w:p>
        </w:tc>
        <w:tc>
          <w:tcPr>
            <w:tcW w:w="1775" w:type="pct"/>
            <w:hideMark/>
          </w:tcPr>
          <w:p w14:paraId="4C75DF43"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Moderately/slightly important</w:t>
            </w:r>
          </w:p>
        </w:tc>
        <w:tc>
          <w:tcPr>
            <w:tcW w:w="282" w:type="pct"/>
            <w:hideMark/>
          </w:tcPr>
          <w:p w14:paraId="6102F4F7"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14</w:t>
            </w:r>
          </w:p>
        </w:tc>
      </w:tr>
    </w:tbl>
    <w:p w14:paraId="49B721DF" w14:textId="77777777" w:rsidR="002B3948" w:rsidRPr="008A1E10" w:rsidRDefault="002B3948" w:rsidP="002B3948">
      <w:pPr>
        <w:rPr>
          <w:rFonts w:cs="Times New Roman"/>
          <w:b/>
          <w:szCs w:val="24"/>
        </w:rPr>
      </w:pPr>
      <w:r>
        <w:rPr>
          <w:rFonts w:cs="Times New Roman"/>
          <w:b/>
          <w:szCs w:val="24"/>
        </w:rPr>
        <w:lastRenderedPageBreak/>
        <w:t xml:space="preserve">5.4 </w:t>
      </w:r>
      <w:r w:rsidRPr="008A1E10">
        <w:rPr>
          <w:rFonts w:cs="Times New Roman"/>
          <w:b/>
          <w:szCs w:val="24"/>
        </w:rPr>
        <w:t>Barriers to Participation in CGD Training</w:t>
      </w:r>
    </w:p>
    <w:p w14:paraId="0F115927" w14:textId="6C2C2151" w:rsidR="002B3948" w:rsidRPr="006E7585" w:rsidRDefault="002B3948" w:rsidP="002B3948">
      <w:pPr>
        <w:pStyle w:val="NormalWeb"/>
      </w:pPr>
      <w:r w:rsidRPr="006E7585">
        <w:t>Teachers identified multiple barriers limiting their participation in CGD training. The most frequently reported were training cost (61%), lack of recognition by the Teachers Service Commission (TSC) and Ministry of Education (60%), limited access to training opportunities (38%), workload-related time constraints (37%), and lack of institutional support (37%). These findings indicate that structural and policy-related constraints outweigh individual motivation.</w:t>
      </w:r>
    </w:p>
    <w:p w14:paraId="2795D961" w14:textId="77777777" w:rsidR="002B3948" w:rsidRPr="006E7585" w:rsidRDefault="002B3948" w:rsidP="002B3948">
      <w:pPr>
        <w:pStyle w:val="NormalWeb"/>
      </w:pPr>
      <w:r w:rsidRPr="006E7585">
        <w:rPr>
          <w:rStyle w:val="Strong"/>
        </w:rPr>
        <w:t>Table 4</w:t>
      </w:r>
      <w:r>
        <w:rPr>
          <w:rStyle w:val="Strong"/>
        </w:rPr>
        <w:t xml:space="preserve">: </w:t>
      </w:r>
      <w:r w:rsidRPr="002322F0">
        <w:rPr>
          <w:rStyle w:val="Emphasis"/>
          <w:b/>
          <w:bCs/>
          <w:i w:val="0"/>
          <w:iCs w:val="0"/>
        </w:rPr>
        <w:t>Perceived Barriers to CGD Training Participation</w:t>
      </w:r>
    </w:p>
    <w:tbl>
      <w:tblPr>
        <w:tblStyle w:val="TableGridLight"/>
        <w:tblW w:w="5000" w:type="pct"/>
        <w:tblLook w:val="04A0" w:firstRow="1" w:lastRow="0" w:firstColumn="1" w:lastColumn="0" w:noHBand="0" w:noVBand="1"/>
      </w:tblPr>
      <w:tblGrid>
        <w:gridCol w:w="7799"/>
        <w:gridCol w:w="1217"/>
      </w:tblGrid>
      <w:tr w:rsidR="002B3948" w:rsidRPr="00DA5939" w14:paraId="57B02327" w14:textId="77777777" w:rsidTr="00501AE9">
        <w:tc>
          <w:tcPr>
            <w:tcW w:w="4325" w:type="pct"/>
            <w:hideMark/>
          </w:tcPr>
          <w:p w14:paraId="3AC11829" w14:textId="77777777" w:rsidR="002B3948" w:rsidRPr="00DA5939" w:rsidRDefault="002B3948" w:rsidP="00501AE9">
            <w:pPr>
              <w:rPr>
                <w:rFonts w:cs="Times New Roman"/>
                <w:b/>
                <w:bCs/>
                <w:sz w:val="20"/>
              </w:rPr>
            </w:pPr>
            <w:r w:rsidRPr="00DA5939">
              <w:rPr>
                <w:rFonts w:cs="Times New Roman"/>
                <w:b/>
                <w:bCs/>
                <w:sz w:val="20"/>
              </w:rPr>
              <w:t>Barrier</w:t>
            </w:r>
          </w:p>
        </w:tc>
        <w:tc>
          <w:tcPr>
            <w:tcW w:w="675" w:type="pct"/>
            <w:hideMark/>
          </w:tcPr>
          <w:p w14:paraId="1CC8A008" w14:textId="77777777" w:rsidR="002B3948" w:rsidRPr="00DA5939" w:rsidRDefault="002B3948" w:rsidP="00501AE9">
            <w:pPr>
              <w:rPr>
                <w:rFonts w:cs="Times New Roman"/>
                <w:b/>
                <w:bCs/>
                <w:sz w:val="20"/>
              </w:rPr>
            </w:pPr>
            <w:r w:rsidRPr="00DA5939">
              <w:rPr>
                <w:rFonts w:cs="Times New Roman"/>
                <w:b/>
                <w:bCs/>
                <w:sz w:val="20"/>
              </w:rPr>
              <w:t>%</w:t>
            </w:r>
          </w:p>
        </w:tc>
      </w:tr>
      <w:tr w:rsidR="002B3948" w:rsidRPr="00DA5939" w14:paraId="5ED83960" w14:textId="77777777" w:rsidTr="00501AE9">
        <w:tc>
          <w:tcPr>
            <w:tcW w:w="4325" w:type="pct"/>
            <w:hideMark/>
          </w:tcPr>
          <w:p w14:paraId="1B417D9D" w14:textId="77777777" w:rsidR="002B3948" w:rsidRPr="00DA5939" w:rsidRDefault="002B3948" w:rsidP="00501AE9">
            <w:pPr>
              <w:rPr>
                <w:rFonts w:cs="Times New Roman"/>
                <w:sz w:val="20"/>
              </w:rPr>
            </w:pPr>
            <w:r w:rsidRPr="00DA5939">
              <w:rPr>
                <w:rFonts w:cs="Times New Roman"/>
                <w:sz w:val="20"/>
              </w:rPr>
              <w:t>Cost of training</w:t>
            </w:r>
          </w:p>
        </w:tc>
        <w:tc>
          <w:tcPr>
            <w:tcW w:w="675" w:type="pct"/>
            <w:hideMark/>
          </w:tcPr>
          <w:p w14:paraId="3A7CBFD6" w14:textId="77777777" w:rsidR="002B3948" w:rsidRPr="00DA5939" w:rsidRDefault="002B3948" w:rsidP="00501AE9">
            <w:pPr>
              <w:rPr>
                <w:rFonts w:cs="Times New Roman"/>
                <w:sz w:val="20"/>
              </w:rPr>
            </w:pPr>
            <w:r w:rsidRPr="00DA5939">
              <w:rPr>
                <w:rFonts w:cs="Times New Roman"/>
                <w:sz w:val="20"/>
              </w:rPr>
              <w:t>61</w:t>
            </w:r>
          </w:p>
        </w:tc>
      </w:tr>
      <w:tr w:rsidR="002B3948" w:rsidRPr="00DA5939" w14:paraId="493D8321" w14:textId="77777777" w:rsidTr="00501AE9">
        <w:tc>
          <w:tcPr>
            <w:tcW w:w="4325" w:type="pct"/>
            <w:hideMark/>
          </w:tcPr>
          <w:p w14:paraId="281E0067" w14:textId="77777777" w:rsidR="002B3948" w:rsidRPr="00DA5939" w:rsidRDefault="002B3948" w:rsidP="00501AE9">
            <w:pPr>
              <w:rPr>
                <w:rFonts w:cs="Times New Roman"/>
                <w:sz w:val="20"/>
              </w:rPr>
            </w:pPr>
            <w:r w:rsidRPr="00DA5939">
              <w:rPr>
                <w:rFonts w:cs="Times New Roman"/>
                <w:sz w:val="20"/>
              </w:rPr>
              <w:t>Lack of TSC/</w:t>
            </w:r>
            <w:proofErr w:type="spellStart"/>
            <w:r w:rsidRPr="00DA5939">
              <w:rPr>
                <w:rFonts w:cs="Times New Roman"/>
                <w:sz w:val="20"/>
              </w:rPr>
              <w:t>MoE</w:t>
            </w:r>
            <w:proofErr w:type="spellEnd"/>
            <w:r w:rsidRPr="00DA5939">
              <w:rPr>
                <w:rFonts w:cs="Times New Roman"/>
                <w:sz w:val="20"/>
              </w:rPr>
              <w:t xml:space="preserve"> recognition</w:t>
            </w:r>
          </w:p>
        </w:tc>
        <w:tc>
          <w:tcPr>
            <w:tcW w:w="675" w:type="pct"/>
            <w:hideMark/>
          </w:tcPr>
          <w:p w14:paraId="220231CE" w14:textId="77777777" w:rsidR="002B3948" w:rsidRPr="00DA5939" w:rsidRDefault="002B3948" w:rsidP="00501AE9">
            <w:pPr>
              <w:rPr>
                <w:rFonts w:cs="Times New Roman"/>
                <w:sz w:val="20"/>
              </w:rPr>
            </w:pPr>
            <w:r w:rsidRPr="00DA5939">
              <w:rPr>
                <w:rFonts w:cs="Times New Roman"/>
                <w:sz w:val="20"/>
              </w:rPr>
              <w:t>60</w:t>
            </w:r>
          </w:p>
        </w:tc>
      </w:tr>
      <w:tr w:rsidR="002B3948" w:rsidRPr="00DA5939" w14:paraId="2E445916" w14:textId="77777777" w:rsidTr="00501AE9">
        <w:tc>
          <w:tcPr>
            <w:tcW w:w="4325" w:type="pct"/>
            <w:hideMark/>
          </w:tcPr>
          <w:p w14:paraId="57DC53EA" w14:textId="77777777" w:rsidR="002B3948" w:rsidRPr="00DA5939" w:rsidRDefault="002B3948" w:rsidP="00501AE9">
            <w:pPr>
              <w:rPr>
                <w:rFonts w:cs="Times New Roman"/>
                <w:sz w:val="20"/>
              </w:rPr>
            </w:pPr>
            <w:r w:rsidRPr="00DA5939">
              <w:rPr>
                <w:rFonts w:cs="Times New Roman"/>
                <w:sz w:val="20"/>
              </w:rPr>
              <w:t>Limited access to training</w:t>
            </w:r>
          </w:p>
        </w:tc>
        <w:tc>
          <w:tcPr>
            <w:tcW w:w="675" w:type="pct"/>
            <w:hideMark/>
          </w:tcPr>
          <w:p w14:paraId="3A8C2A6D" w14:textId="77777777" w:rsidR="002B3948" w:rsidRPr="00DA5939" w:rsidRDefault="002B3948" w:rsidP="00501AE9">
            <w:pPr>
              <w:rPr>
                <w:rFonts w:cs="Times New Roman"/>
                <w:sz w:val="20"/>
              </w:rPr>
            </w:pPr>
            <w:r w:rsidRPr="00DA5939">
              <w:rPr>
                <w:rFonts w:cs="Times New Roman"/>
                <w:sz w:val="20"/>
              </w:rPr>
              <w:t>38</w:t>
            </w:r>
          </w:p>
        </w:tc>
      </w:tr>
      <w:tr w:rsidR="002B3948" w:rsidRPr="00DA5939" w14:paraId="459120E3" w14:textId="77777777" w:rsidTr="00501AE9">
        <w:tc>
          <w:tcPr>
            <w:tcW w:w="4325" w:type="pct"/>
            <w:hideMark/>
          </w:tcPr>
          <w:p w14:paraId="0F1A7165" w14:textId="77777777" w:rsidR="002B3948" w:rsidRPr="00DA5939" w:rsidRDefault="002B3948" w:rsidP="00501AE9">
            <w:pPr>
              <w:rPr>
                <w:rFonts w:cs="Times New Roman"/>
                <w:sz w:val="20"/>
              </w:rPr>
            </w:pPr>
            <w:r w:rsidRPr="00DA5939">
              <w:rPr>
                <w:rFonts w:cs="Times New Roman"/>
                <w:sz w:val="20"/>
              </w:rPr>
              <w:t>Workload/time constraints</w:t>
            </w:r>
          </w:p>
        </w:tc>
        <w:tc>
          <w:tcPr>
            <w:tcW w:w="675" w:type="pct"/>
            <w:hideMark/>
          </w:tcPr>
          <w:p w14:paraId="047CDF5A" w14:textId="77777777" w:rsidR="002B3948" w:rsidRPr="00DA5939" w:rsidRDefault="002B3948" w:rsidP="00501AE9">
            <w:pPr>
              <w:rPr>
                <w:rFonts w:cs="Times New Roman"/>
                <w:sz w:val="20"/>
              </w:rPr>
            </w:pPr>
            <w:r w:rsidRPr="00DA5939">
              <w:rPr>
                <w:rFonts w:cs="Times New Roman"/>
                <w:sz w:val="20"/>
              </w:rPr>
              <w:t>37</w:t>
            </w:r>
          </w:p>
        </w:tc>
      </w:tr>
      <w:tr w:rsidR="002B3948" w:rsidRPr="00DA5939" w14:paraId="3A852A0F" w14:textId="77777777" w:rsidTr="00501AE9">
        <w:tc>
          <w:tcPr>
            <w:tcW w:w="4325" w:type="pct"/>
            <w:hideMark/>
          </w:tcPr>
          <w:p w14:paraId="6BA79036" w14:textId="77777777" w:rsidR="002B3948" w:rsidRPr="00DA5939" w:rsidRDefault="002B3948" w:rsidP="00501AE9">
            <w:pPr>
              <w:rPr>
                <w:rFonts w:cs="Times New Roman"/>
                <w:sz w:val="20"/>
              </w:rPr>
            </w:pPr>
            <w:r w:rsidRPr="00DA5939">
              <w:rPr>
                <w:rFonts w:cs="Times New Roman"/>
                <w:sz w:val="20"/>
              </w:rPr>
              <w:t>Lack of institutional support</w:t>
            </w:r>
          </w:p>
        </w:tc>
        <w:tc>
          <w:tcPr>
            <w:tcW w:w="675" w:type="pct"/>
            <w:hideMark/>
          </w:tcPr>
          <w:p w14:paraId="1654491A" w14:textId="77777777" w:rsidR="002B3948" w:rsidRPr="00DA5939" w:rsidRDefault="002B3948" w:rsidP="00501AE9">
            <w:pPr>
              <w:rPr>
                <w:rFonts w:cs="Times New Roman"/>
                <w:sz w:val="20"/>
              </w:rPr>
            </w:pPr>
            <w:r w:rsidRPr="00DA5939">
              <w:rPr>
                <w:rFonts w:cs="Times New Roman"/>
                <w:sz w:val="20"/>
              </w:rPr>
              <w:t>37</w:t>
            </w:r>
          </w:p>
        </w:tc>
      </w:tr>
    </w:tbl>
    <w:p w14:paraId="49F5F20F" w14:textId="77777777" w:rsidR="002B3948" w:rsidRPr="008A1E10" w:rsidRDefault="002B3948" w:rsidP="002B3948">
      <w:pPr>
        <w:rPr>
          <w:rFonts w:cs="Times New Roman"/>
          <w:b/>
          <w:szCs w:val="24"/>
        </w:rPr>
      </w:pPr>
      <w:r>
        <w:rPr>
          <w:rFonts w:cs="Times New Roman"/>
          <w:b/>
          <w:szCs w:val="24"/>
        </w:rPr>
        <w:t xml:space="preserve">5.5 </w:t>
      </w:r>
      <w:r w:rsidRPr="008A1E10">
        <w:rPr>
          <w:rFonts w:cs="Times New Roman"/>
          <w:b/>
          <w:szCs w:val="24"/>
        </w:rPr>
        <w:t>Motivators and Incentives for Enrollment</w:t>
      </w:r>
    </w:p>
    <w:p w14:paraId="7B53FA25" w14:textId="77777777" w:rsidR="002B3948" w:rsidRPr="006E7585" w:rsidRDefault="002B3948" w:rsidP="002B3948">
      <w:pPr>
        <w:pStyle w:val="NormalWeb"/>
      </w:pPr>
      <w:r w:rsidRPr="006E7585">
        <w:t xml:space="preserve">Teachers reported several factors that would motivate enrollment in CGD training. The most influential </w:t>
      </w:r>
      <w:r>
        <w:t>factors were the prospect</w:t>
      </w:r>
      <w:r w:rsidRPr="006E7585">
        <w:t xml:space="preserve"> of TSC promotion (54%), improved remuneration (47%), and the opportunity to positively impact learners’ career outcomes (44%). Notably, 90% indicated that </w:t>
      </w:r>
      <w:r>
        <w:t xml:space="preserve">TSC's formal recognition of CGD qualifications </w:t>
      </w:r>
      <w:r w:rsidRPr="006E7585">
        <w:t>would influence their decision to enroll.</w:t>
      </w:r>
    </w:p>
    <w:p w14:paraId="5FB04F55" w14:textId="77777777" w:rsidR="002B3948" w:rsidRDefault="002B3948" w:rsidP="002B3948">
      <w:pPr>
        <w:pStyle w:val="NormalWeb"/>
      </w:pPr>
      <w:r w:rsidRPr="006E7585">
        <w:t>Cost emerged as a decisive factor, with 70% reporting that it would strongly influence participation. Financial arrangements perceived as most helpful included scholarships or subsidies (57%), affordable monthly installments (54%), and school-based financing (50%).</w:t>
      </w:r>
    </w:p>
    <w:p w14:paraId="09E04D51" w14:textId="77777777" w:rsidR="002B3948" w:rsidRPr="002322F0" w:rsidRDefault="002B3948" w:rsidP="002B3948">
      <w:pPr>
        <w:pStyle w:val="NormalWeb"/>
        <w:rPr>
          <w:b/>
          <w:bCs/>
        </w:rPr>
      </w:pPr>
      <w:r w:rsidRPr="006E7585">
        <w:rPr>
          <w:rStyle w:val="Strong"/>
        </w:rPr>
        <w:t>Table 5</w:t>
      </w:r>
      <w:r>
        <w:rPr>
          <w:rStyle w:val="Strong"/>
        </w:rPr>
        <w:t xml:space="preserve">: </w:t>
      </w:r>
      <w:r w:rsidRPr="002322F0">
        <w:rPr>
          <w:rStyle w:val="Emphasis"/>
          <w:b/>
          <w:bCs/>
          <w:i w:val="0"/>
          <w:iCs w:val="0"/>
        </w:rPr>
        <w:t>Motivators and Financial Enablers for CGD Training</w:t>
      </w:r>
    </w:p>
    <w:tbl>
      <w:tblPr>
        <w:tblStyle w:val="PlainTable1"/>
        <w:tblW w:w="5000" w:type="pct"/>
        <w:tblLook w:val="04A0" w:firstRow="1" w:lastRow="0" w:firstColumn="1" w:lastColumn="0" w:noHBand="0" w:noVBand="1"/>
      </w:tblPr>
      <w:tblGrid>
        <w:gridCol w:w="8228"/>
        <w:gridCol w:w="788"/>
      </w:tblGrid>
      <w:tr w:rsidR="002B3948" w:rsidRPr="00DA5939" w14:paraId="421D7600" w14:textId="77777777" w:rsidTr="00501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3" w:type="pct"/>
            <w:hideMark/>
          </w:tcPr>
          <w:p w14:paraId="7D02E34E" w14:textId="77777777" w:rsidR="002B3948" w:rsidRPr="00DA5939" w:rsidRDefault="002B3948" w:rsidP="00501AE9">
            <w:pPr>
              <w:rPr>
                <w:rFonts w:cs="Times New Roman"/>
                <w:sz w:val="20"/>
              </w:rPr>
            </w:pPr>
            <w:r w:rsidRPr="00DA5939">
              <w:rPr>
                <w:rFonts w:cs="Times New Roman"/>
                <w:bCs w:val="0"/>
                <w:sz w:val="20"/>
              </w:rPr>
              <w:t>Factor</w:t>
            </w:r>
          </w:p>
        </w:tc>
        <w:tc>
          <w:tcPr>
            <w:tcW w:w="437" w:type="pct"/>
            <w:hideMark/>
          </w:tcPr>
          <w:p w14:paraId="72D72117" w14:textId="77777777" w:rsidR="002B3948" w:rsidRPr="00DA5939" w:rsidRDefault="002B3948" w:rsidP="00501AE9">
            <w:pPr>
              <w:cnfStyle w:val="100000000000" w:firstRow="1" w:lastRow="0" w:firstColumn="0" w:lastColumn="0" w:oddVBand="0" w:evenVBand="0" w:oddHBand="0" w:evenHBand="0" w:firstRowFirstColumn="0" w:firstRowLastColumn="0" w:lastRowFirstColumn="0" w:lastRowLastColumn="0"/>
              <w:rPr>
                <w:rFonts w:cs="Times New Roman"/>
                <w:bCs w:val="0"/>
                <w:sz w:val="20"/>
              </w:rPr>
            </w:pPr>
            <w:r w:rsidRPr="00DA5939">
              <w:rPr>
                <w:rFonts w:cs="Times New Roman"/>
                <w:bCs w:val="0"/>
                <w:sz w:val="20"/>
              </w:rPr>
              <w:t>%</w:t>
            </w:r>
          </w:p>
        </w:tc>
      </w:tr>
      <w:tr w:rsidR="002B3948" w:rsidRPr="00DA5939" w14:paraId="50AE7CB9" w14:textId="77777777" w:rsidTr="00501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3" w:type="pct"/>
            <w:hideMark/>
          </w:tcPr>
          <w:p w14:paraId="7F44C792" w14:textId="77777777" w:rsidR="002B3948" w:rsidRPr="00DA5939" w:rsidRDefault="002B3948" w:rsidP="00501AE9">
            <w:pPr>
              <w:rPr>
                <w:rFonts w:cs="Times New Roman"/>
                <w:b w:val="0"/>
                <w:bCs w:val="0"/>
                <w:sz w:val="20"/>
              </w:rPr>
            </w:pPr>
            <w:r w:rsidRPr="00DA5939">
              <w:rPr>
                <w:rFonts w:cs="Times New Roman"/>
                <w:b w:val="0"/>
                <w:sz w:val="20"/>
              </w:rPr>
              <w:t>TSC promotion</w:t>
            </w:r>
          </w:p>
        </w:tc>
        <w:tc>
          <w:tcPr>
            <w:tcW w:w="437" w:type="pct"/>
            <w:hideMark/>
          </w:tcPr>
          <w:p w14:paraId="0CA9299F"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54</w:t>
            </w:r>
          </w:p>
        </w:tc>
      </w:tr>
      <w:tr w:rsidR="002B3948" w:rsidRPr="00DA5939" w14:paraId="1600ED67" w14:textId="77777777" w:rsidTr="00501AE9">
        <w:tc>
          <w:tcPr>
            <w:cnfStyle w:val="001000000000" w:firstRow="0" w:lastRow="0" w:firstColumn="1" w:lastColumn="0" w:oddVBand="0" w:evenVBand="0" w:oddHBand="0" w:evenHBand="0" w:firstRowFirstColumn="0" w:firstRowLastColumn="0" w:lastRowFirstColumn="0" w:lastRowLastColumn="0"/>
            <w:tcW w:w="4563" w:type="pct"/>
            <w:hideMark/>
          </w:tcPr>
          <w:p w14:paraId="50F39561" w14:textId="77777777" w:rsidR="002B3948" w:rsidRPr="00DA5939" w:rsidRDefault="002B3948" w:rsidP="00501AE9">
            <w:pPr>
              <w:rPr>
                <w:rFonts w:cs="Times New Roman"/>
                <w:b w:val="0"/>
                <w:sz w:val="20"/>
              </w:rPr>
            </w:pPr>
            <w:r w:rsidRPr="00DA5939">
              <w:rPr>
                <w:rFonts w:cs="Times New Roman"/>
                <w:b w:val="0"/>
                <w:sz w:val="20"/>
              </w:rPr>
              <w:t>Improved remuneration</w:t>
            </w:r>
          </w:p>
        </w:tc>
        <w:tc>
          <w:tcPr>
            <w:tcW w:w="437" w:type="pct"/>
            <w:hideMark/>
          </w:tcPr>
          <w:p w14:paraId="2BB691B7" w14:textId="77777777" w:rsidR="002B3948" w:rsidRPr="00DA5939" w:rsidRDefault="002B3948" w:rsidP="00501AE9">
            <w:pPr>
              <w:cnfStyle w:val="000000000000" w:firstRow="0" w:lastRow="0" w:firstColumn="0" w:lastColumn="0" w:oddVBand="0" w:evenVBand="0" w:oddHBand="0" w:evenHBand="0" w:firstRowFirstColumn="0" w:firstRowLastColumn="0" w:lastRowFirstColumn="0" w:lastRowLastColumn="0"/>
              <w:rPr>
                <w:rFonts w:cs="Times New Roman"/>
                <w:sz w:val="20"/>
              </w:rPr>
            </w:pPr>
            <w:r w:rsidRPr="00DA5939">
              <w:rPr>
                <w:rFonts w:cs="Times New Roman"/>
                <w:sz w:val="20"/>
              </w:rPr>
              <w:t>47</w:t>
            </w:r>
          </w:p>
        </w:tc>
      </w:tr>
      <w:tr w:rsidR="002B3948" w:rsidRPr="00DA5939" w14:paraId="62534C2E" w14:textId="77777777" w:rsidTr="00501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3" w:type="pct"/>
            <w:hideMark/>
          </w:tcPr>
          <w:p w14:paraId="3CA04CAE" w14:textId="77777777" w:rsidR="002B3948" w:rsidRPr="00DA5939" w:rsidRDefault="002B3948" w:rsidP="00501AE9">
            <w:pPr>
              <w:rPr>
                <w:rFonts w:cs="Times New Roman"/>
                <w:b w:val="0"/>
                <w:sz w:val="20"/>
              </w:rPr>
            </w:pPr>
            <w:r w:rsidRPr="00DA5939">
              <w:rPr>
                <w:rFonts w:cs="Times New Roman"/>
                <w:b w:val="0"/>
                <w:sz w:val="20"/>
              </w:rPr>
              <w:t>Impact on learners</w:t>
            </w:r>
          </w:p>
        </w:tc>
        <w:tc>
          <w:tcPr>
            <w:tcW w:w="437" w:type="pct"/>
            <w:hideMark/>
          </w:tcPr>
          <w:p w14:paraId="6CAA74E4"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44</w:t>
            </w:r>
          </w:p>
        </w:tc>
      </w:tr>
      <w:tr w:rsidR="002B3948" w:rsidRPr="00DA5939" w14:paraId="4C1688F1" w14:textId="77777777" w:rsidTr="00501AE9">
        <w:tc>
          <w:tcPr>
            <w:cnfStyle w:val="001000000000" w:firstRow="0" w:lastRow="0" w:firstColumn="1" w:lastColumn="0" w:oddVBand="0" w:evenVBand="0" w:oddHBand="0" w:evenHBand="0" w:firstRowFirstColumn="0" w:firstRowLastColumn="0" w:lastRowFirstColumn="0" w:lastRowLastColumn="0"/>
            <w:tcW w:w="4563" w:type="pct"/>
            <w:hideMark/>
          </w:tcPr>
          <w:p w14:paraId="309E7C92" w14:textId="77777777" w:rsidR="002B3948" w:rsidRPr="00DA5939" w:rsidRDefault="002B3948" w:rsidP="00501AE9">
            <w:pPr>
              <w:rPr>
                <w:rFonts w:cs="Times New Roman"/>
                <w:b w:val="0"/>
                <w:sz w:val="20"/>
              </w:rPr>
            </w:pPr>
            <w:r w:rsidRPr="00DA5939">
              <w:rPr>
                <w:rFonts w:cs="Times New Roman"/>
                <w:b w:val="0"/>
                <w:sz w:val="20"/>
              </w:rPr>
              <w:t>TSC recognition influencing enrollment</w:t>
            </w:r>
          </w:p>
        </w:tc>
        <w:tc>
          <w:tcPr>
            <w:tcW w:w="437" w:type="pct"/>
            <w:hideMark/>
          </w:tcPr>
          <w:p w14:paraId="4B1DAA2E" w14:textId="77777777" w:rsidR="002B3948" w:rsidRPr="00DA5939" w:rsidRDefault="002B3948" w:rsidP="00501AE9">
            <w:pPr>
              <w:cnfStyle w:val="000000000000" w:firstRow="0" w:lastRow="0" w:firstColumn="0" w:lastColumn="0" w:oddVBand="0" w:evenVBand="0" w:oddHBand="0" w:evenHBand="0" w:firstRowFirstColumn="0" w:firstRowLastColumn="0" w:lastRowFirstColumn="0" w:lastRowLastColumn="0"/>
              <w:rPr>
                <w:rFonts w:cs="Times New Roman"/>
                <w:sz w:val="20"/>
              </w:rPr>
            </w:pPr>
            <w:r w:rsidRPr="00DA5939">
              <w:rPr>
                <w:rFonts w:cs="Times New Roman"/>
                <w:sz w:val="20"/>
              </w:rPr>
              <w:t>90</w:t>
            </w:r>
          </w:p>
        </w:tc>
      </w:tr>
      <w:tr w:rsidR="002B3948" w:rsidRPr="00DA5939" w14:paraId="68A5FD10" w14:textId="77777777" w:rsidTr="00501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3" w:type="pct"/>
            <w:hideMark/>
          </w:tcPr>
          <w:p w14:paraId="1790646A" w14:textId="77777777" w:rsidR="002B3948" w:rsidRPr="00DA5939" w:rsidRDefault="002B3948" w:rsidP="00501AE9">
            <w:pPr>
              <w:rPr>
                <w:rFonts w:cs="Times New Roman"/>
                <w:b w:val="0"/>
                <w:sz w:val="20"/>
              </w:rPr>
            </w:pPr>
            <w:r w:rsidRPr="00DA5939">
              <w:rPr>
                <w:rFonts w:cs="Times New Roman"/>
                <w:b w:val="0"/>
                <w:sz w:val="20"/>
              </w:rPr>
              <w:t>Cost strongly influencing enrollment</w:t>
            </w:r>
          </w:p>
        </w:tc>
        <w:tc>
          <w:tcPr>
            <w:tcW w:w="437" w:type="pct"/>
            <w:hideMark/>
          </w:tcPr>
          <w:p w14:paraId="1968E856"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70</w:t>
            </w:r>
          </w:p>
        </w:tc>
      </w:tr>
      <w:tr w:rsidR="002B3948" w:rsidRPr="00DA5939" w14:paraId="60CD3750" w14:textId="77777777" w:rsidTr="00501AE9">
        <w:tc>
          <w:tcPr>
            <w:cnfStyle w:val="001000000000" w:firstRow="0" w:lastRow="0" w:firstColumn="1" w:lastColumn="0" w:oddVBand="0" w:evenVBand="0" w:oddHBand="0" w:evenHBand="0" w:firstRowFirstColumn="0" w:firstRowLastColumn="0" w:lastRowFirstColumn="0" w:lastRowLastColumn="0"/>
            <w:tcW w:w="4563" w:type="pct"/>
            <w:hideMark/>
          </w:tcPr>
          <w:p w14:paraId="42EA3624" w14:textId="77777777" w:rsidR="002B3948" w:rsidRPr="00DA5939" w:rsidRDefault="002B3948" w:rsidP="00501AE9">
            <w:pPr>
              <w:rPr>
                <w:rFonts w:cs="Times New Roman"/>
                <w:b w:val="0"/>
                <w:sz w:val="20"/>
              </w:rPr>
            </w:pPr>
            <w:r w:rsidRPr="00DA5939">
              <w:rPr>
                <w:rFonts w:cs="Times New Roman"/>
                <w:b w:val="0"/>
                <w:sz w:val="20"/>
              </w:rPr>
              <w:t>Preferred financial support: Scholarships/subsidies</w:t>
            </w:r>
          </w:p>
        </w:tc>
        <w:tc>
          <w:tcPr>
            <w:tcW w:w="437" w:type="pct"/>
            <w:hideMark/>
          </w:tcPr>
          <w:p w14:paraId="2E2BC910" w14:textId="77777777" w:rsidR="002B3948" w:rsidRPr="00DA5939" w:rsidRDefault="002B3948" w:rsidP="00501AE9">
            <w:pPr>
              <w:cnfStyle w:val="000000000000" w:firstRow="0" w:lastRow="0" w:firstColumn="0" w:lastColumn="0" w:oddVBand="0" w:evenVBand="0" w:oddHBand="0" w:evenHBand="0" w:firstRowFirstColumn="0" w:firstRowLastColumn="0" w:lastRowFirstColumn="0" w:lastRowLastColumn="0"/>
              <w:rPr>
                <w:rFonts w:cs="Times New Roman"/>
                <w:sz w:val="20"/>
              </w:rPr>
            </w:pPr>
            <w:r w:rsidRPr="00DA5939">
              <w:rPr>
                <w:rFonts w:cs="Times New Roman"/>
                <w:sz w:val="20"/>
              </w:rPr>
              <w:t>57</w:t>
            </w:r>
          </w:p>
        </w:tc>
      </w:tr>
      <w:tr w:rsidR="002B3948" w:rsidRPr="00DA5939" w14:paraId="366746C5" w14:textId="77777777" w:rsidTr="00501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3" w:type="pct"/>
            <w:hideMark/>
          </w:tcPr>
          <w:p w14:paraId="3BCFE35C" w14:textId="77777777" w:rsidR="002B3948" w:rsidRPr="00DA5939" w:rsidRDefault="002B3948" w:rsidP="00501AE9">
            <w:pPr>
              <w:rPr>
                <w:rFonts w:cs="Times New Roman"/>
                <w:b w:val="0"/>
                <w:sz w:val="20"/>
              </w:rPr>
            </w:pPr>
            <w:r w:rsidRPr="00DA5939">
              <w:rPr>
                <w:rFonts w:cs="Times New Roman"/>
                <w:b w:val="0"/>
                <w:sz w:val="20"/>
              </w:rPr>
              <w:t>Preferred financial support: Installments</w:t>
            </w:r>
          </w:p>
        </w:tc>
        <w:tc>
          <w:tcPr>
            <w:tcW w:w="437" w:type="pct"/>
            <w:hideMark/>
          </w:tcPr>
          <w:p w14:paraId="31521E75"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54</w:t>
            </w:r>
          </w:p>
        </w:tc>
      </w:tr>
      <w:tr w:rsidR="002B3948" w:rsidRPr="00DA5939" w14:paraId="11FBD110" w14:textId="77777777" w:rsidTr="00501AE9">
        <w:tc>
          <w:tcPr>
            <w:cnfStyle w:val="001000000000" w:firstRow="0" w:lastRow="0" w:firstColumn="1" w:lastColumn="0" w:oddVBand="0" w:evenVBand="0" w:oddHBand="0" w:evenHBand="0" w:firstRowFirstColumn="0" w:firstRowLastColumn="0" w:lastRowFirstColumn="0" w:lastRowLastColumn="0"/>
            <w:tcW w:w="4563" w:type="pct"/>
            <w:hideMark/>
          </w:tcPr>
          <w:p w14:paraId="3312CC5C" w14:textId="77777777" w:rsidR="002B3948" w:rsidRPr="00DA5939" w:rsidRDefault="002B3948" w:rsidP="00501AE9">
            <w:pPr>
              <w:rPr>
                <w:rFonts w:cs="Times New Roman"/>
                <w:b w:val="0"/>
                <w:sz w:val="20"/>
              </w:rPr>
            </w:pPr>
            <w:r w:rsidRPr="00DA5939">
              <w:rPr>
                <w:rFonts w:cs="Times New Roman"/>
                <w:b w:val="0"/>
                <w:sz w:val="20"/>
              </w:rPr>
              <w:t>Preferred financial support: School-based financing</w:t>
            </w:r>
          </w:p>
        </w:tc>
        <w:tc>
          <w:tcPr>
            <w:tcW w:w="437" w:type="pct"/>
            <w:hideMark/>
          </w:tcPr>
          <w:p w14:paraId="7336A243" w14:textId="77777777" w:rsidR="002B3948" w:rsidRPr="00DA5939" w:rsidRDefault="002B3948" w:rsidP="00501AE9">
            <w:pPr>
              <w:cnfStyle w:val="000000000000" w:firstRow="0" w:lastRow="0" w:firstColumn="0" w:lastColumn="0" w:oddVBand="0" w:evenVBand="0" w:oddHBand="0" w:evenHBand="0" w:firstRowFirstColumn="0" w:firstRowLastColumn="0" w:lastRowFirstColumn="0" w:lastRowLastColumn="0"/>
              <w:rPr>
                <w:rFonts w:cs="Times New Roman"/>
                <w:sz w:val="20"/>
              </w:rPr>
            </w:pPr>
            <w:r w:rsidRPr="00DA5939">
              <w:rPr>
                <w:rFonts w:cs="Times New Roman"/>
                <w:sz w:val="20"/>
              </w:rPr>
              <w:t>50</w:t>
            </w:r>
          </w:p>
        </w:tc>
      </w:tr>
    </w:tbl>
    <w:p w14:paraId="04901BDF" w14:textId="77777777" w:rsidR="002B3948" w:rsidRPr="0072130F" w:rsidRDefault="002B3948" w:rsidP="002B3948">
      <w:pPr>
        <w:rPr>
          <w:rFonts w:cs="Times New Roman"/>
          <w:szCs w:val="24"/>
        </w:rPr>
      </w:pPr>
      <w:r w:rsidRPr="0072130F">
        <w:rPr>
          <w:rFonts w:cs="Times New Roman"/>
          <w:szCs w:val="24"/>
        </w:rPr>
        <w:t xml:space="preserve">These patterns suggest that teachers’ engagement in CGD training is shaped by both structural conditions (such as recognition and affordability) and motivational factors related to career advancement and professional growth, reflecting broader evidence that participation in </w:t>
      </w:r>
      <w:r w:rsidRPr="0072130F">
        <w:rPr>
          <w:rFonts w:cs="Times New Roman"/>
          <w:szCs w:val="24"/>
        </w:rPr>
        <w:lastRenderedPageBreak/>
        <w:t>professional development is influenced by institutional support as well as individual career-oriented motivations.</w:t>
      </w:r>
    </w:p>
    <w:p w14:paraId="2789F150" w14:textId="77777777" w:rsidR="002B3948" w:rsidRPr="008A1E10" w:rsidRDefault="002B3948" w:rsidP="002B3948">
      <w:pPr>
        <w:rPr>
          <w:rFonts w:cs="Times New Roman"/>
          <w:b/>
          <w:szCs w:val="24"/>
        </w:rPr>
      </w:pPr>
      <w:r>
        <w:rPr>
          <w:rFonts w:cs="Times New Roman"/>
          <w:b/>
          <w:szCs w:val="24"/>
        </w:rPr>
        <w:t xml:space="preserve">5.6 </w:t>
      </w:r>
      <w:r w:rsidRPr="008A1E10">
        <w:rPr>
          <w:rFonts w:cs="Times New Roman"/>
          <w:b/>
          <w:szCs w:val="24"/>
        </w:rPr>
        <w:t>Preferred Training Pathways and Delivery Modes</w:t>
      </w:r>
    </w:p>
    <w:p w14:paraId="71FB3F7C" w14:textId="23BA5B3A" w:rsidR="002B3948" w:rsidRPr="006E7585" w:rsidRDefault="002B3948" w:rsidP="002B3948">
      <w:pPr>
        <w:pStyle w:val="NormalWeb"/>
      </w:pPr>
      <w:r w:rsidRPr="006E7585">
        <w:t>Nearly all participants expressed interest in pursuing CGD qualifications, either as diploma programs or micro-credentials. Short-term micro-credentials were preferred over longer diploma pathways. Regarding delivery modes, blended learning was most favored (48%), followed by fully online learning (28%) and face-to-face training during school holidays (24%).</w:t>
      </w:r>
      <w:r>
        <w:t xml:space="preserve"> </w:t>
      </w:r>
      <w:r w:rsidRPr="006E7585">
        <w:t>These preferences highlight the importance of flexible, accessible professional development models.</w:t>
      </w:r>
    </w:p>
    <w:p w14:paraId="4EBF6571" w14:textId="77777777" w:rsidR="002B3948" w:rsidRPr="002322F0" w:rsidRDefault="002B3948" w:rsidP="002B3948">
      <w:pPr>
        <w:pStyle w:val="NormalWeb"/>
        <w:rPr>
          <w:b/>
          <w:bCs/>
        </w:rPr>
      </w:pPr>
      <w:r w:rsidRPr="006E7585">
        <w:rPr>
          <w:rStyle w:val="Strong"/>
        </w:rPr>
        <w:t>Table 6</w:t>
      </w:r>
      <w:r>
        <w:rPr>
          <w:rStyle w:val="Strong"/>
        </w:rPr>
        <w:t xml:space="preserve">: </w:t>
      </w:r>
      <w:r w:rsidRPr="002322F0">
        <w:rPr>
          <w:rStyle w:val="Emphasis"/>
          <w:b/>
          <w:bCs/>
          <w:i w:val="0"/>
          <w:iCs w:val="0"/>
        </w:rPr>
        <w:t>Preferred CGD Training Pathways and Delivery Modes</w:t>
      </w:r>
    </w:p>
    <w:tbl>
      <w:tblPr>
        <w:tblStyle w:val="PlainTable1"/>
        <w:tblW w:w="5000" w:type="pct"/>
        <w:tblLook w:val="04A0" w:firstRow="1" w:lastRow="0" w:firstColumn="1" w:lastColumn="0" w:noHBand="0" w:noVBand="1"/>
      </w:tblPr>
      <w:tblGrid>
        <w:gridCol w:w="4059"/>
        <w:gridCol w:w="3614"/>
        <w:gridCol w:w="1343"/>
      </w:tblGrid>
      <w:tr w:rsidR="002B3948" w:rsidRPr="00DA5939" w14:paraId="1C541155" w14:textId="77777777" w:rsidTr="00501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pct"/>
            <w:hideMark/>
          </w:tcPr>
          <w:p w14:paraId="1FA38163" w14:textId="77777777" w:rsidR="002B3948" w:rsidRPr="00DA5939" w:rsidRDefault="002B3948" w:rsidP="00501AE9">
            <w:pPr>
              <w:rPr>
                <w:rFonts w:cs="Times New Roman"/>
                <w:sz w:val="20"/>
              </w:rPr>
            </w:pPr>
            <w:r w:rsidRPr="00DA5939">
              <w:rPr>
                <w:rFonts w:cs="Times New Roman"/>
                <w:b w:val="0"/>
                <w:bCs w:val="0"/>
                <w:sz w:val="20"/>
              </w:rPr>
              <w:t>Variable</w:t>
            </w:r>
          </w:p>
        </w:tc>
        <w:tc>
          <w:tcPr>
            <w:tcW w:w="2004" w:type="pct"/>
            <w:hideMark/>
          </w:tcPr>
          <w:p w14:paraId="5EA76491" w14:textId="77777777" w:rsidR="002B3948" w:rsidRPr="00DA5939" w:rsidRDefault="002B3948" w:rsidP="00501AE9">
            <w:pP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DA5939">
              <w:rPr>
                <w:rFonts w:cs="Times New Roman"/>
                <w:b w:val="0"/>
                <w:bCs w:val="0"/>
                <w:sz w:val="20"/>
              </w:rPr>
              <w:t>Category</w:t>
            </w:r>
          </w:p>
        </w:tc>
        <w:tc>
          <w:tcPr>
            <w:tcW w:w="745" w:type="pct"/>
            <w:hideMark/>
          </w:tcPr>
          <w:p w14:paraId="56C9F1F4" w14:textId="77777777" w:rsidR="002B3948" w:rsidRPr="00DA5939" w:rsidRDefault="002B3948" w:rsidP="00501AE9">
            <w:pP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DA5939">
              <w:rPr>
                <w:rFonts w:cs="Times New Roman"/>
                <w:b w:val="0"/>
                <w:bCs w:val="0"/>
                <w:sz w:val="20"/>
              </w:rPr>
              <w:t>%</w:t>
            </w:r>
          </w:p>
        </w:tc>
      </w:tr>
      <w:tr w:rsidR="002B3948" w:rsidRPr="00DA5939" w14:paraId="2D16156C" w14:textId="77777777" w:rsidTr="00501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pct"/>
            <w:hideMark/>
          </w:tcPr>
          <w:p w14:paraId="6029AEBD" w14:textId="77777777" w:rsidR="002B3948" w:rsidRPr="00DA5939" w:rsidRDefault="002B3948" w:rsidP="00501AE9">
            <w:pPr>
              <w:rPr>
                <w:rFonts w:cs="Times New Roman"/>
                <w:b w:val="0"/>
                <w:bCs w:val="0"/>
                <w:sz w:val="20"/>
              </w:rPr>
            </w:pPr>
            <w:r w:rsidRPr="00DA5939">
              <w:rPr>
                <w:rFonts w:cs="Times New Roman"/>
                <w:sz w:val="20"/>
              </w:rPr>
              <w:t>Interest in CGD training</w:t>
            </w:r>
          </w:p>
        </w:tc>
        <w:tc>
          <w:tcPr>
            <w:tcW w:w="2004" w:type="pct"/>
            <w:hideMark/>
          </w:tcPr>
          <w:p w14:paraId="3A215FBA"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Interested</w:t>
            </w:r>
          </w:p>
        </w:tc>
        <w:tc>
          <w:tcPr>
            <w:tcW w:w="745" w:type="pct"/>
            <w:hideMark/>
          </w:tcPr>
          <w:p w14:paraId="2D623EF5"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99</w:t>
            </w:r>
          </w:p>
        </w:tc>
      </w:tr>
      <w:tr w:rsidR="002B3948" w:rsidRPr="00DA5939" w14:paraId="5B9DE107" w14:textId="77777777" w:rsidTr="00501AE9">
        <w:tc>
          <w:tcPr>
            <w:cnfStyle w:val="001000000000" w:firstRow="0" w:lastRow="0" w:firstColumn="1" w:lastColumn="0" w:oddVBand="0" w:evenVBand="0" w:oddHBand="0" w:evenHBand="0" w:firstRowFirstColumn="0" w:firstRowLastColumn="0" w:lastRowFirstColumn="0" w:lastRowLastColumn="0"/>
            <w:tcW w:w="2251" w:type="pct"/>
            <w:vMerge w:val="restart"/>
            <w:hideMark/>
          </w:tcPr>
          <w:p w14:paraId="43409099" w14:textId="77777777" w:rsidR="002B3948" w:rsidRPr="00DA5939" w:rsidRDefault="002B3948" w:rsidP="00501AE9">
            <w:pPr>
              <w:rPr>
                <w:rFonts w:cs="Times New Roman"/>
                <w:sz w:val="20"/>
              </w:rPr>
            </w:pPr>
            <w:r w:rsidRPr="00DA5939">
              <w:rPr>
                <w:rFonts w:cs="Times New Roman"/>
                <w:sz w:val="20"/>
              </w:rPr>
              <w:t>Preferred qualification</w:t>
            </w:r>
          </w:p>
        </w:tc>
        <w:tc>
          <w:tcPr>
            <w:tcW w:w="2004" w:type="pct"/>
            <w:hideMark/>
          </w:tcPr>
          <w:p w14:paraId="1EF8188C" w14:textId="77777777" w:rsidR="002B3948" w:rsidRPr="00DA5939" w:rsidRDefault="002B3948" w:rsidP="00501AE9">
            <w:pPr>
              <w:cnfStyle w:val="000000000000" w:firstRow="0" w:lastRow="0" w:firstColumn="0" w:lastColumn="0" w:oddVBand="0" w:evenVBand="0" w:oddHBand="0" w:evenHBand="0" w:firstRowFirstColumn="0" w:firstRowLastColumn="0" w:lastRowFirstColumn="0" w:lastRowLastColumn="0"/>
              <w:rPr>
                <w:rFonts w:cs="Times New Roman"/>
                <w:sz w:val="20"/>
              </w:rPr>
            </w:pPr>
            <w:r w:rsidRPr="00DA5939">
              <w:rPr>
                <w:rFonts w:cs="Times New Roman"/>
                <w:sz w:val="20"/>
              </w:rPr>
              <w:t>Micro-credential</w:t>
            </w:r>
          </w:p>
        </w:tc>
        <w:tc>
          <w:tcPr>
            <w:tcW w:w="745" w:type="pct"/>
            <w:hideMark/>
          </w:tcPr>
          <w:p w14:paraId="2ED279F8" w14:textId="77777777" w:rsidR="002B3948" w:rsidRPr="00DA5939" w:rsidRDefault="002B3948" w:rsidP="00501AE9">
            <w:pPr>
              <w:cnfStyle w:val="000000000000" w:firstRow="0" w:lastRow="0" w:firstColumn="0" w:lastColumn="0" w:oddVBand="0" w:evenVBand="0" w:oddHBand="0" w:evenHBand="0" w:firstRowFirstColumn="0" w:firstRowLastColumn="0" w:lastRowFirstColumn="0" w:lastRowLastColumn="0"/>
              <w:rPr>
                <w:rFonts w:cs="Times New Roman"/>
                <w:sz w:val="20"/>
              </w:rPr>
            </w:pPr>
            <w:r w:rsidRPr="00DA5939">
              <w:rPr>
                <w:rFonts w:cs="Times New Roman"/>
                <w:sz w:val="20"/>
              </w:rPr>
              <w:t>Higher</w:t>
            </w:r>
          </w:p>
        </w:tc>
      </w:tr>
      <w:tr w:rsidR="002B3948" w:rsidRPr="00DA5939" w14:paraId="3668541C" w14:textId="77777777" w:rsidTr="00501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pct"/>
            <w:vMerge/>
            <w:hideMark/>
          </w:tcPr>
          <w:p w14:paraId="52CEC3C0" w14:textId="77777777" w:rsidR="002B3948" w:rsidRPr="00DA5939" w:rsidRDefault="002B3948" w:rsidP="00501AE9">
            <w:pPr>
              <w:rPr>
                <w:rFonts w:cs="Times New Roman"/>
                <w:sz w:val="20"/>
              </w:rPr>
            </w:pPr>
          </w:p>
        </w:tc>
        <w:tc>
          <w:tcPr>
            <w:tcW w:w="2004" w:type="pct"/>
            <w:hideMark/>
          </w:tcPr>
          <w:p w14:paraId="61388067"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Diploma</w:t>
            </w:r>
          </w:p>
        </w:tc>
        <w:tc>
          <w:tcPr>
            <w:tcW w:w="745" w:type="pct"/>
            <w:hideMark/>
          </w:tcPr>
          <w:p w14:paraId="4FA2DF96"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Lower</w:t>
            </w:r>
          </w:p>
        </w:tc>
      </w:tr>
      <w:tr w:rsidR="002B3948" w:rsidRPr="00DA5939" w14:paraId="76C2A139" w14:textId="77777777" w:rsidTr="00501AE9">
        <w:tc>
          <w:tcPr>
            <w:cnfStyle w:val="001000000000" w:firstRow="0" w:lastRow="0" w:firstColumn="1" w:lastColumn="0" w:oddVBand="0" w:evenVBand="0" w:oddHBand="0" w:evenHBand="0" w:firstRowFirstColumn="0" w:firstRowLastColumn="0" w:lastRowFirstColumn="0" w:lastRowLastColumn="0"/>
            <w:tcW w:w="2251" w:type="pct"/>
            <w:vMerge w:val="restart"/>
            <w:shd w:val="clear" w:color="auto" w:fill="F2F2F2" w:themeFill="background1" w:themeFillShade="F2"/>
            <w:hideMark/>
          </w:tcPr>
          <w:p w14:paraId="5B6F8F1C" w14:textId="77777777" w:rsidR="002B3948" w:rsidRPr="00DA5939" w:rsidRDefault="002B3948" w:rsidP="00501AE9">
            <w:pPr>
              <w:rPr>
                <w:rFonts w:cs="Times New Roman"/>
                <w:sz w:val="20"/>
              </w:rPr>
            </w:pPr>
            <w:r w:rsidRPr="00DA5939">
              <w:rPr>
                <w:rFonts w:cs="Times New Roman"/>
                <w:sz w:val="20"/>
              </w:rPr>
              <w:t>Delivery mode</w:t>
            </w:r>
          </w:p>
        </w:tc>
        <w:tc>
          <w:tcPr>
            <w:tcW w:w="2004" w:type="pct"/>
            <w:hideMark/>
          </w:tcPr>
          <w:p w14:paraId="61D21650" w14:textId="77777777" w:rsidR="002B3948" w:rsidRPr="00DA5939" w:rsidRDefault="002B3948" w:rsidP="00501AE9">
            <w:pPr>
              <w:cnfStyle w:val="000000000000" w:firstRow="0" w:lastRow="0" w:firstColumn="0" w:lastColumn="0" w:oddVBand="0" w:evenVBand="0" w:oddHBand="0" w:evenHBand="0" w:firstRowFirstColumn="0" w:firstRowLastColumn="0" w:lastRowFirstColumn="0" w:lastRowLastColumn="0"/>
              <w:rPr>
                <w:rFonts w:cs="Times New Roman"/>
                <w:sz w:val="20"/>
              </w:rPr>
            </w:pPr>
            <w:r w:rsidRPr="00DA5939">
              <w:rPr>
                <w:rFonts w:cs="Times New Roman"/>
                <w:sz w:val="20"/>
              </w:rPr>
              <w:t>Blended learning</w:t>
            </w:r>
          </w:p>
        </w:tc>
        <w:tc>
          <w:tcPr>
            <w:tcW w:w="745" w:type="pct"/>
            <w:hideMark/>
          </w:tcPr>
          <w:p w14:paraId="53AEDF8A" w14:textId="77777777" w:rsidR="002B3948" w:rsidRPr="00DA5939" w:rsidRDefault="002B3948" w:rsidP="00501AE9">
            <w:pPr>
              <w:cnfStyle w:val="000000000000" w:firstRow="0" w:lastRow="0" w:firstColumn="0" w:lastColumn="0" w:oddVBand="0" w:evenVBand="0" w:oddHBand="0" w:evenHBand="0" w:firstRowFirstColumn="0" w:firstRowLastColumn="0" w:lastRowFirstColumn="0" w:lastRowLastColumn="0"/>
              <w:rPr>
                <w:rFonts w:cs="Times New Roman"/>
                <w:sz w:val="20"/>
              </w:rPr>
            </w:pPr>
            <w:r w:rsidRPr="00DA5939">
              <w:rPr>
                <w:rFonts w:cs="Times New Roman"/>
                <w:sz w:val="20"/>
              </w:rPr>
              <w:t>48</w:t>
            </w:r>
          </w:p>
        </w:tc>
      </w:tr>
      <w:tr w:rsidR="002B3948" w:rsidRPr="00DA5939" w14:paraId="2D923978" w14:textId="77777777" w:rsidTr="00501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pct"/>
            <w:vMerge/>
            <w:hideMark/>
          </w:tcPr>
          <w:p w14:paraId="23AFFDB9" w14:textId="77777777" w:rsidR="002B3948" w:rsidRPr="00DA5939" w:rsidRDefault="002B3948" w:rsidP="00501AE9">
            <w:pPr>
              <w:rPr>
                <w:rFonts w:cs="Times New Roman"/>
                <w:sz w:val="20"/>
              </w:rPr>
            </w:pPr>
          </w:p>
        </w:tc>
        <w:tc>
          <w:tcPr>
            <w:tcW w:w="2004" w:type="pct"/>
            <w:hideMark/>
          </w:tcPr>
          <w:p w14:paraId="31A558FB"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Fully online</w:t>
            </w:r>
          </w:p>
        </w:tc>
        <w:tc>
          <w:tcPr>
            <w:tcW w:w="745" w:type="pct"/>
            <w:hideMark/>
          </w:tcPr>
          <w:p w14:paraId="2F53668F" w14:textId="77777777" w:rsidR="002B3948" w:rsidRPr="00DA5939" w:rsidRDefault="002B3948" w:rsidP="00501AE9">
            <w:pPr>
              <w:cnfStyle w:val="000000100000" w:firstRow="0" w:lastRow="0" w:firstColumn="0" w:lastColumn="0" w:oddVBand="0" w:evenVBand="0" w:oddHBand="1" w:evenHBand="0" w:firstRowFirstColumn="0" w:firstRowLastColumn="0" w:lastRowFirstColumn="0" w:lastRowLastColumn="0"/>
              <w:rPr>
                <w:rFonts w:cs="Times New Roman"/>
                <w:sz w:val="20"/>
              </w:rPr>
            </w:pPr>
            <w:r w:rsidRPr="00DA5939">
              <w:rPr>
                <w:rFonts w:cs="Times New Roman"/>
                <w:sz w:val="20"/>
              </w:rPr>
              <w:t>28</w:t>
            </w:r>
          </w:p>
        </w:tc>
      </w:tr>
      <w:tr w:rsidR="002B3948" w:rsidRPr="00DA5939" w14:paraId="7A129D21" w14:textId="77777777" w:rsidTr="00501AE9">
        <w:tc>
          <w:tcPr>
            <w:cnfStyle w:val="001000000000" w:firstRow="0" w:lastRow="0" w:firstColumn="1" w:lastColumn="0" w:oddVBand="0" w:evenVBand="0" w:oddHBand="0" w:evenHBand="0" w:firstRowFirstColumn="0" w:firstRowLastColumn="0" w:lastRowFirstColumn="0" w:lastRowLastColumn="0"/>
            <w:tcW w:w="2251" w:type="pct"/>
            <w:vMerge/>
            <w:shd w:val="clear" w:color="auto" w:fill="F2F2F2" w:themeFill="background1" w:themeFillShade="F2"/>
            <w:hideMark/>
          </w:tcPr>
          <w:p w14:paraId="5DB368F0" w14:textId="77777777" w:rsidR="002B3948" w:rsidRPr="00DA5939" w:rsidRDefault="002B3948" w:rsidP="00501AE9">
            <w:pPr>
              <w:rPr>
                <w:rFonts w:cs="Times New Roman"/>
                <w:sz w:val="20"/>
              </w:rPr>
            </w:pPr>
          </w:p>
        </w:tc>
        <w:tc>
          <w:tcPr>
            <w:tcW w:w="2004" w:type="pct"/>
            <w:hideMark/>
          </w:tcPr>
          <w:p w14:paraId="46CDAFCE" w14:textId="77777777" w:rsidR="002B3948" w:rsidRPr="00DA5939" w:rsidRDefault="002B3948" w:rsidP="00501AE9">
            <w:pPr>
              <w:cnfStyle w:val="000000000000" w:firstRow="0" w:lastRow="0" w:firstColumn="0" w:lastColumn="0" w:oddVBand="0" w:evenVBand="0" w:oddHBand="0" w:evenHBand="0" w:firstRowFirstColumn="0" w:firstRowLastColumn="0" w:lastRowFirstColumn="0" w:lastRowLastColumn="0"/>
              <w:rPr>
                <w:rFonts w:cs="Times New Roman"/>
                <w:sz w:val="20"/>
              </w:rPr>
            </w:pPr>
            <w:r w:rsidRPr="00DA5939">
              <w:rPr>
                <w:rFonts w:cs="Times New Roman"/>
                <w:sz w:val="20"/>
              </w:rPr>
              <w:t>Face-to-face (holidays)</w:t>
            </w:r>
          </w:p>
        </w:tc>
        <w:tc>
          <w:tcPr>
            <w:tcW w:w="745" w:type="pct"/>
            <w:hideMark/>
          </w:tcPr>
          <w:p w14:paraId="5BDE4BE6" w14:textId="77777777" w:rsidR="002B3948" w:rsidRPr="00DA5939" w:rsidRDefault="002B3948" w:rsidP="00501AE9">
            <w:pPr>
              <w:cnfStyle w:val="000000000000" w:firstRow="0" w:lastRow="0" w:firstColumn="0" w:lastColumn="0" w:oddVBand="0" w:evenVBand="0" w:oddHBand="0" w:evenHBand="0" w:firstRowFirstColumn="0" w:firstRowLastColumn="0" w:lastRowFirstColumn="0" w:lastRowLastColumn="0"/>
              <w:rPr>
                <w:rFonts w:cs="Times New Roman"/>
                <w:sz w:val="20"/>
              </w:rPr>
            </w:pPr>
            <w:r w:rsidRPr="00DA5939">
              <w:rPr>
                <w:rFonts w:cs="Times New Roman"/>
                <w:sz w:val="20"/>
              </w:rPr>
              <w:t>24</w:t>
            </w:r>
          </w:p>
        </w:tc>
      </w:tr>
    </w:tbl>
    <w:p w14:paraId="521FCE96" w14:textId="740701FB" w:rsidR="002B3948" w:rsidRPr="00FB0D74" w:rsidRDefault="002B3948" w:rsidP="002B3948">
      <w:pPr>
        <w:rPr>
          <w:rFonts w:cs="Times New Roman"/>
          <w:szCs w:val="24"/>
        </w:rPr>
      </w:pPr>
      <w:r w:rsidRPr="00FB0D74">
        <w:rPr>
          <w:rFonts w:cs="Times New Roman"/>
          <w:szCs w:val="24"/>
        </w:rPr>
        <w:t>Overall, these preferences highlight the importance of flexible and accessible professional development models for teachers.</w:t>
      </w:r>
    </w:p>
    <w:p w14:paraId="2945380B" w14:textId="77777777" w:rsidR="002B3948" w:rsidRPr="008A1E10" w:rsidRDefault="002B3948" w:rsidP="002B3948">
      <w:pPr>
        <w:rPr>
          <w:rFonts w:cs="Times New Roman"/>
          <w:b/>
          <w:szCs w:val="24"/>
        </w:rPr>
      </w:pPr>
      <w:r>
        <w:rPr>
          <w:rFonts w:cs="Times New Roman"/>
          <w:b/>
          <w:szCs w:val="24"/>
        </w:rPr>
        <w:t xml:space="preserve">6. </w:t>
      </w:r>
      <w:r w:rsidRPr="008A1E10">
        <w:rPr>
          <w:rFonts w:cs="Times New Roman"/>
          <w:b/>
          <w:szCs w:val="24"/>
        </w:rPr>
        <w:t>Discussion</w:t>
      </w:r>
    </w:p>
    <w:p w14:paraId="5F83D8E2" w14:textId="77777777" w:rsidR="002B3948" w:rsidRDefault="002B3948" w:rsidP="002B3948">
      <w:pPr>
        <w:pStyle w:val="NormalWeb"/>
      </w:pPr>
      <w:r>
        <w:t>Guided by the Systems and Lifespan Development framework, this discussion interprets the findings in relation to policy-level structures, institutional conditions, and teachers’ developmental learning needs. The study provides national-level evidence on Kenyan teachers’ engagement with Career Guidance and Development (CGD) training under Competency-Based Education (CBE), revealing a substantial gap between professional recognition of CGD’s importance and participation in sustained training. Although awareness of CGD was relatively high, more than half of teachers reported no prior engagement in any CGD program, and the majority indicated limited competence. These findings extend international evidence showing that teachers are increasingly expected to assume career guidance roles without commensurate professional preparation (Hooley et al., 2024).</w:t>
      </w:r>
    </w:p>
    <w:p w14:paraId="60243C9A" w14:textId="77777777" w:rsidR="002B3948" w:rsidRPr="006E7585" w:rsidRDefault="002B3948" w:rsidP="002B3948">
      <w:pPr>
        <w:pStyle w:val="NormalWeb"/>
      </w:pPr>
      <w:r>
        <w:t>Consistent with prior research, teachers in this study strongly acknowledged their role in supporting learner transitions and overwhelmingly endorsed the need for CGD training (Wong et al., 2021; Sarah et al., 2019). However, limited access to structured learning opportunities suggests that systemic constraints, rather than lack of motivation, primarily shape participation. Similar dynamics have been documented across Sub-Saharan Africa, where institutional support and professional training pathways remain underdeveloped (</w:t>
      </w:r>
      <w:proofErr w:type="spellStart"/>
      <w:r>
        <w:t>Alloph</w:t>
      </w:r>
      <w:proofErr w:type="spellEnd"/>
      <w:r>
        <w:t xml:space="preserve"> &amp; </w:t>
      </w:r>
      <w:proofErr w:type="spellStart"/>
      <w:r>
        <w:t>Msonge</w:t>
      </w:r>
      <w:proofErr w:type="spellEnd"/>
      <w:r>
        <w:t xml:space="preserve">, 2023; </w:t>
      </w:r>
      <w:proofErr w:type="spellStart"/>
      <w:r>
        <w:t>Otwine</w:t>
      </w:r>
      <w:proofErr w:type="spellEnd"/>
      <w:r>
        <w:t xml:space="preserve"> et al., 2022).</w:t>
      </w:r>
    </w:p>
    <w:p w14:paraId="6935CC5D" w14:textId="77777777" w:rsidR="002B3948" w:rsidRPr="006E7585" w:rsidRDefault="002B3948" w:rsidP="002B3948">
      <w:pPr>
        <w:pStyle w:val="NormalWeb"/>
      </w:pPr>
      <w:r>
        <w:t xml:space="preserve">The prominence of cost and lack of institutional recognition as leading barriers underscores the systemic nature of the challenge. Research in South Africa demonstrates that sustained teacher professional learning depends on supportive institutional environments, collaborative cultures, </w:t>
      </w:r>
      <w:r>
        <w:lastRenderedPageBreak/>
        <w:t>and access to structured development opportunities (</w:t>
      </w:r>
      <w:proofErr w:type="spellStart"/>
      <w:r>
        <w:t>Bantwini</w:t>
      </w:r>
      <w:proofErr w:type="spellEnd"/>
      <w:r>
        <w:t xml:space="preserve">, 2019). At the same time, studies of teacher professional development show that participation is strongly influenced by motivational orientations such as career advancement, practical skill enhancement, and professional interest (Richter, Kleinknecht, &amp; </w:t>
      </w:r>
      <w:proofErr w:type="spellStart"/>
      <w:r>
        <w:t>Gröschner</w:t>
      </w:r>
      <w:proofErr w:type="spellEnd"/>
      <w:r>
        <w:t>, 2019). In the present study, prospects of promotion and improved remuneration emerged as among the strongest motivators for CGD enrollment, while affordability and formal recognition by TSC were decisive enablers of participation. Together, these findings indicate that teacher engagement in CGD training is shaped by an interaction between institutional structures and individual motivation, reinforcing the need for policy frameworks that simultaneously address recognition, financing, and career progression.</w:t>
      </w:r>
    </w:p>
    <w:p w14:paraId="4FEE059E" w14:textId="77777777" w:rsidR="002B3948" w:rsidRPr="006E7585" w:rsidRDefault="002B3948" w:rsidP="002B3948">
      <w:pPr>
        <w:pStyle w:val="NormalWeb"/>
      </w:pPr>
      <w:r w:rsidRPr="006E7585">
        <w:t xml:space="preserve">The finding that 90% of teachers would be influenced to enroll in CGD training if qualifications were formally recognized by TSC is particularly significant. It suggests that institutional recognition could act as a powerful catalyst for scaling CGD capacity nationally. Without such recognition, </w:t>
      </w:r>
      <w:r>
        <w:t xml:space="preserve">career guidance </w:t>
      </w:r>
      <w:r w:rsidRPr="006E7585">
        <w:t>risks remaining peripheral</w:t>
      </w:r>
      <w:r>
        <w:t xml:space="preserve"> and being </w:t>
      </w:r>
      <w:r w:rsidRPr="006E7585">
        <w:t>viewed as an optional specialization rather than a core professional competence. This pattern mirrors experiences in Uganda, where ambiguity around guidance roles has contributed to fragmented service delivery (</w:t>
      </w:r>
      <w:proofErr w:type="spellStart"/>
      <w:r w:rsidRPr="006E7585">
        <w:t>Otwine</w:t>
      </w:r>
      <w:proofErr w:type="spellEnd"/>
      <w:r w:rsidRPr="006E7585">
        <w:t xml:space="preserve"> et al., 2022), and in Tanzania, where lack of professional training structures has constrained teachers’ effectiveness in career guidance (</w:t>
      </w:r>
      <w:proofErr w:type="spellStart"/>
      <w:r w:rsidRPr="006E7585">
        <w:t>Alloph</w:t>
      </w:r>
      <w:proofErr w:type="spellEnd"/>
      <w:r w:rsidRPr="006E7585">
        <w:t xml:space="preserve"> &amp; </w:t>
      </w:r>
      <w:proofErr w:type="spellStart"/>
      <w:r w:rsidRPr="006E7585">
        <w:t>Msonge</w:t>
      </w:r>
      <w:proofErr w:type="spellEnd"/>
      <w:r w:rsidRPr="006E7585">
        <w:t>, 2023).</w:t>
      </w:r>
    </w:p>
    <w:p w14:paraId="795A6592" w14:textId="77777777" w:rsidR="002B3948" w:rsidRPr="006E7585" w:rsidRDefault="002B3948" w:rsidP="002B3948">
      <w:pPr>
        <w:pStyle w:val="NormalWeb"/>
      </w:pPr>
      <w:r w:rsidRPr="006E7585">
        <w:t xml:space="preserve">Teachers’ strong preference for short-term micro-credentials and flexible delivery modalities reflects the realities of adult learning within demanding professional contexts. Blended and online learning were favored over traditional face-to-face formats, consistent with post-pandemic shifts toward flexible professional development models. While micro-credentials offer accessible entry points into </w:t>
      </w:r>
      <w:r>
        <w:t>career guidance and development training</w:t>
      </w:r>
      <w:r w:rsidRPr="006E7585">
        <w:t xml:space="preserve">, the current findings raise important concerns regarding </w:t>
      </w:r>
      <w:r>
        <w:t xml:space="preserve">the </w:t>
      </w:r>
      <w:r w:rsidRPr="006E7585">
        <w:t xml:space="preserve">depth of competence. Given that most teachers reported limited baseline knowledge of </w:t>
      </w:r>
      <w:r>
        <w:t>career guidance</w:t>
      </w:r>
      <w:r w:rsidRPr="006E7585">
        <w:t xml:space="preserve">, reliance solely on short-term training risks promoting surface-level understanding rather than sustained professional capability. Bersan et al. (2024) demonstrate that comprehensive </w:t>
      </w:r>
      <w:r>
        <w:t>career guidance</w:t>
      </w:r>
      <w:r w:rsidRPr="006E7585">
        <w:t xml:space="preserve"> training enhances teachers’ ability to integrate career learning into subject instruction and mentoring; however, such outcomes typically require structured, progressive learning rather than isolated workshops.</w:t>
      </w:r>
      <w:r w:rsidRPr="009A4C8A">
        <w:t xml:space="preserve"> This further supports the need for institutionalized professional learning cultures alongside clear incentive structures, combining the structural conditions emphasized by </w:t>
      </w:r>
      <w:proofErr w:type="spellStart"/>
      <w:r w:rsidRPr="009A4C8A">
        <w:t>Bantwini</w:t>
      </w:r>
      <w:proofErr w:type="spellEnd"/>
      <w:r w:rsidRPr="009A4C8A">
        <w:t xml:space="preserve"> (2019) with the motivational dynamics identified by Richter et al. (2019).</w:t>
      </w:r>
    </w:p>
    <w:p w14:paraId="1BF796D1" w14:textId="77777777" w:rsidR="002B3948" w:rsidRPr="006E7585" w:rsidRDefault="002B3948" w:rsidP="002B3948">
      <w:pPr>
        <w:pStyle w:val="NormalWeb"/>
      </w:pPr>
      <w:r w:rsidRPr="006E7585">
        <w:t xml:space="preserve">From a Systems and Lifespan Development perspective, these findings highlight how macro-level policy and institutional arrangements shape micro-level practice. Teachers operate within interconnected systems that include school leadership, professional development frameworks, and national education policies. When these systems fail to provide recognition, financing, and protected time, individual motivation alone is insufficient to sustain engagement. Lifespan career theory further emphasizes that effective career development begins early and requires consistent, developmentally appropriate support. Under CBE, learners are required to make pathway decisions at younger ages, intensifying the consequences of inadequate </w:t>
      </w:r>
      <w:r>
        <w:t xml:space="preserve">career </w:t>
      </w:r>
      <w:r w:rsidRPr="006E7585">
        <w:t>guidance. Without well-prepared teachers at junior and senior s</w:t>
      </w:r>
      <w:r>
        <w:t xml:space="preserve">chool </w:t>
      </w:r>
      <w:r w:rsidRPr="006E7585">
        <w:t>levels, learners may rely on incomplete information, peer influence, or socioeconomic constraints rather than informed self-exploration.</w:t>
      </w:r>
    </w:p>
    <w:p w14:paraId="04617E4F" w14:textId="77777777" w:rsidR="002B3948" w:rsidRPr="006E7585" w:rsidRDefault="002B3948" w:rsidP="002B3948">
      <w:pPr>
        <w:pStyle w:val="NormalWeb"/>
      </w:pPr>
      <w:r w:rsidRPr="006E7585">
        <w:t xml:space="preserve">The Kenyan context adds further urgency to these findings. Sarah et al. (2019) demonstrated that access to career guidance services positively influences students’ career choices in Kenyan secondary schools. However, the present study suggests that such services remain unevenly </w:t>
      </w:r>
      <w:r w:rsidRPr="006E7585">
        <w:lastRenderedPageBreak/>
        <w:t>implemented, largely dependent on individual teacher initiative rather than institutionalized structures. This variability risks exacerbating educational inequities, particularly for learners in under-resourced schools or rural areas where access to external career information is limited.</w:t>
      </w:r>
    </w:p>
    <w:p w14:paraId="2B3760E3" w14:textId="77777777" w:rsidR="002B3948" w:rsidRPr="006E7585" w:rsidRDefault="002B3948" w:rsidP="002B3948">
      <w:pPr>
        <w:pStyle w:val="NormalWeb"/>
      </w:pPr>
      <w:r w:rsidRPr="006E7585">
        <w:t>Taken together, the results point to the need for a coordinated, system-wide approach to</w:t>
      </w:r>
      <w:r>
        <w:t xml:space="preserve"> career guidance and development </w:t>
      </w:r>
      <w:r w:rsidRPr="006E7585">
        <w:t xml:space="preserve">capacity building. Integrating </w:t>
      </w:r>
      <w:r>
        <w:t xml:space="preserve">career guidance </w:t>
      </w:r>
      <w:r w:rsidRPr="006E7585">
        <w:t>into Continuous Professional Development frameworks, establishing tiered and stackable training pathways, and linking qualifications to TSC recognition and career progression would help reposition career guidance as a professional specialization rather than an add-on responsibility. Financial support mechanisms</w:t>
      </w:r>
      <w:r>
        <w:t xml:space="preserve">, including subsidies, scholarships, and installment-based financing, </w:t>
      </w:r>
      <w:r w:rsidRPr="006E7585">
        <w:t>are equally critical to ensuring equitable access, particularly for early-career teachers and those in marginalized regions.</w:t>
      </w:r>
    </w:p>
    <w:p w14:paraId="068CA32F" w14:textId="77777777" w:rsidR="002B3948" w:rsidRDefault="002B3948" w:rsidP="002B3948">
      <w:pPr>
        <w:pStyle w:val="NormalWeb"/>
      </w:pPr>
      <w:r w:rsidRPr="006E7585">
        <w:t xml:space="preserve">Finally, the findings suggest that strengthening </w:t>
      </w:r>
      <w:r>
        <w:t xml:space="preserve">career guidance and development </w:t>
      </w:r>
      <w:r w:rsidRPr="006E7585">
        <w:t xml:space="preserve">under CBE is not merely a technical training intervention but a strategic investment in learner transitions and workforce readiness. By equipping teachers with sustained </w:t>
      </w:r>
      <w:r>
        <w:t>career-guidance competencies, education systems can enhance learner agency, reduce confusion during pathway selection, and improve alignment between educational</w:t>
      </w:r>
      <w:r w:rsidRPr="006E7585">
        <w:t xml:space="preserve"> outcomes and labor market demands. Without such systemic reforms, career guidance is likely to remain episodic and fragmented, limiting the transformative potential of CBE</w:t>
      </w:r>
      <w:r>
        <w:t xml:space="preserve"> in Kenya</w:t>
      </w:r>
      <w:r w:rsidRPr="006E7585">
        <w:t>.</w:t>
      </w:r>
    </w:p>
    <w:p w14:paraId="5C5CF6D3" w14:textId="77777777" w:rsidR="002B3948" w:rsidRPr="008A1E10" w:rsidRDefault="002B3948" w:rsidP="002B3948">
      <w:pPr>
        <w:rPr>
          <w:rFonts w:cs="Times New Roman"/>
          <w:b/>
          <w:szCs w:val="24"/>
        </w:rPr>
      </w:pPr>
      <w:r>
        <w:rPr>
          <w:rFonts w:cs="Times New Roman"/>
          <w:b/>
          <w:szCs w:val="24"/>
        </w:rPr>
        <w:t xml:space="preserve">7. </w:t>
      </w:r>
      <w:r w:rsidRPr="008A1E10">
        <w:rPr>
          <w:rFonts w:cs="Times New Roman"/>
          <w:b/>
          <w:szCs w:val="24"/>
        </w:rPr>
        <w:t>Conclusion</w:t>
      </w:r>
    </w:p>
    <w:p w14:paraId="7575D1B1" w14:textId="77777777" w:rsidR="002B3948" w:rsidRPr="006D32F5" w:rsidRDefault="002B3948" w:rsidP="002B3948">
      <w:pPr>
        <w:rPr>
          <w:rFonts w:eastAsia="Times New Roman" w:cs="Times New Roman"/>
          <w:szCs w:val="24"/>
        </w:rPr>
      </w:pPr>
      <w:r w:rsidRPr="006D32F5">
        <w:rPr>
          <w:rFonts w:eastAsia="Times New Roman" w:cs="Times New Roman"/>
          <w:szCs w:val="24"/>
        </w:rPr>
        <w:t xml:space="preserve">This study examined Kenyan junior and senior school teachers’ awareness, participation, perceived value, barriers, and motivators </w:t>
      </w:r>
      <w:r>
        <w:rPr>
          <w:rFonts w:eastAsia="Times New Roman" w:cs="Times New Roman"/>
          <w:szCs w:val="24"/>
        </w:rPr>
        <w:t>regarding Career Guidance and Development (CGD) training in</w:t>
      </w:r>
      <w:r w:rsidRPr="006D32F5">
        <w:rPr>
          <w:rFonts w:eastAsia="Times New Roman" w:cs="Times New Roman"/>
          <w:szCs w:val="24"/>
        </w:rPr>
        <w:t xml:space="preserve"> the context of Competency-Based Education (CBE). The findings reveal a persistent gap between teachers’ strong recognition of CGD’s importance and their limited engagement in sustained professional preparation. While awareness of CGD opportunities is relatively high, more than half of teachers have never participated in </w:t>
      </w:r>
      <w:r>
        <w:rPr>
          <w:rFonts w:eastAsia="Times New Roman" w:cs="Times New Roman"/>
          <w:szCs w:val="24"/>
        </w:rPr>
        <w:t>formal CGD training, and most report limited competence in career guidance</w:t>
      </w:r>
      <w:r w:rsidRPr="006D32F5">
        <w:rPr>
          <w:rFonts w:eastAsia="Times New Roman" w:cs="Times New Roman"/>
          <w:szCs w:val="24"/>
        </w:rPr>
        <w:t>.</w:t>
      </w:r>
    </w:p>
    <w:p w14:paraId="43FA79B9" w14:textId="77777777" w:rsidR="002B3948" w:rsidRPr="006D32F5" w:rsidRDefault="002B3948" w:rsidP="002B3948">
      <w:pPr>
        <w:rPr>
          <w:rFonts w:eastAsia="Times New Roman" w:cs="Times New Roman"/>
          <w:szCs w:val="24"/>
        </w:rPr>
      </w:pPr>
      <w:r w:rsidRPr="006D32F5">
        <w:rPr>
          <w:rFonts w:eastAsia="Times New Roman" w:cs="Times New Roman"/>
          <w:szCs w:val="24"/>
        </w:rPr>
        <w:t>The results demonstrate that constraints to CGD participation are primarily systemic rather than individual. Training costs, lack of formal recognition by the Teachers Service Commission (TSC) and Ministry of Education, workload pressures, limited access to training opportunities, and weak institutional support collectively inhibit professional engagement. At the same time, teachers’ responsiveness to incentives such as promotion prospects, remuneration, and professional recognition indicates that participation can be significantly strengthened through aligned policy frameworks.</w:t>
      </w:r>
    </w:p>
    <w:p w14:paraId="7B1C82F3" w14:textId="77777777" w:rsidR="002B3948" w:rsidRPr="006D32F5" w:rsidRDefault="002B3948" w:rsidP="002B3948">
      <w:pPr>
        <w:rPr>
          <w:rFonts w:eastAsia="Times New Roman" w:cs="Times New Roman"/>
          <w:szCs w:val="24"/>
        </w:rPr>
      </w:pPr>
      <w:r w:rsidRPr="006D32F5">
        <w:rPr>
          <w:rFonts w:eastAsia="Times New Roman" w:cs="Times New Roman"/>
          <w:szCs w:val="24"/>
        </w:rPr>
        <w:t>Viewed through a Systems and Lifespan Development lens, these findings highlight how macro-level policy and institutional arrangements shape micro-level guidance practices in schools. Under CBE, learners are required to make pathway decisions earlier in their educational journeys, amplifying the consequences of inadequate career guidance. Without sustained investment in teacher CGD capacity, career guidance risks remaining fragmented and dependent on individual initiative, potentially widening inequities across schools and regions.</w:t>
      </w:r>
    </w:p>
    <w:p w14:paraId="0FD88ED4" w14:textId="77777777" w:rsidR="002B3948" w:rsidRPr="006D32F5" w:rsidRDefault="002B3948" w:rsidP="002B3948">
      <w:pPr>
        <w:rPr>
          <w:rFonts w:eastAsia="Times New Roman" w:cs="Times New Roman"/>
          <w:szCs w:val="24"/>
        </w:rPr>
      </w:pPr>
      <w:r w:rsidRPr="006D32F5">
        <w:rPr>
          <w:rFonts w:eastAsia="Times New Roman" w:cs="Times New Roman"/>
          <w:szCs w:val="24"/>
        </w:rPr>
        <w:t>Although teachers expressed strong preference for short-term micro-credentials and flexible learning modalities, such approaches alone are insufficient to build deep professional competence. CGD training must therefore be embedded within tiered, stackable learning pathways that support progressive skill development over time. Institutional recognition, protected time, and affordable financing mechanisms are essential to transform episodic training into sustained professional growth.</w:t>
      </w:r>
    </w:p>
    <w:p w14:paraId="01EC19E2" w14:textId="77777777" w:rsidR="002B3948" w:rsidRDefault="002B3948" w:rsidP="002B3948">
      <w:pPr>
        <w:rPr>
          <w:rFonts w:eastAsia="Times New Roman" w:cs="Times New Roman"/>
          <w:szCs w:val="24"/>
        </w:rPr>
      </w:pPr>
      <w:r w:rsidRPr="006D32F5">
        <w:rPr>
          <w:rFonts w:eastAsia="Times New Roman" w:cs="Times New Roman"/>
          <w:szCs w:val="24"/>
        </w:rPr>
        <w:lastRenderedPageBreak/>
        <w:t>Overall, strengthening career guidance and development represents not merely a professional development priority but a strategic lever for improving learner transitions, enhancing educational relevance, and supporting workforce readiness in Kenya. By documenting teachers’ perspectives across multiple counties, this study contributes national-level evidence to inform policy alignment, training design, and systemic capacity building under CBE.</w:t>
      </w:r>
    </w:p>
    <w:p w14:paraId="59A9B5C9" w14:textId="77777777" w:rsidR="002B3948" w:rsidRPr="008A1E10" w:rsidRDefault="002B3948" w:rsidP="002B3948">
      <w:pPr>
        <w:rPr>
          <w:rFonts w:cs="Times New Roman"/>
          <w:b/>
          <w:szCs w:val="24"/>
        </w:rPr>
      </w:pPr>
      <w:r>
        <w:rPr>
          <w:rFonts w:cs="Times New Roman"/>
          <w:b/>
          <w:szCs w:val="24"/>
        </w:rPr>
        <w:t xml:space="preserve">8. </w:t>
      </w:r>
      <w:r w:rsidRPr="008A1E10">
        <w:rPr>
          <w:rFonts w:cs="Times New Roman"/>
          <w:b/>
          <w:szCs w:val="24"/>
        </w:rPr>
        <w:t>Policy Implications</w:t>
      </w:r>
    </w:p>
    <w:p w14:paraId="5EAFD32F" w14:textId="77777777" w:rsidR="002B3948" w:rsidRPr="00CF5E9E" w:rsidRDefault="002B3948" w:rsidP="002B3948">
      <w:pPr>
        <w:rPr>
          <w:rFonts w:cs="Times New Roman"/>
          <w:i/>
        </w:rPr>
      </w:pPr>
      <w:r w:rsidRPr="00CF5E9E">
        <w:rPr>
          <w:rFonts w:cs="Times New Roman"/>
          <w:i/>
        </w:rPr>
        <w:t>Institutional Recognition and Career Pathways</w:t>
      </w:r>
    </w:p>
    <w:p w14:paraId="1A45A9E3" w14:textId="77777777" w:rsidR="002B3948" w:rsidRPr="006E7585" w:rsidRDefault="002B3948" w:rsidP="002B3948">
      <w:pPr>
        <w:pStyle w:val="NormalWeb"/>
      </w:pPr>
      <w:r w:rsidRPr="006E7585">
        <w:t>The Teachers Service Commission should formally recognize CGD qualifications</w:t>
      </w:r>
      <w:r>
        <w:t xml:space="preserve">, including micro-credentials and diplomas, </w:t>
      </w:r>
      <w:r w:rsidRPr="006E7585">
        <w:t>as approved professional specializations. Such recognition should be explicitly linked to promotion criteria, appointment to designated career guidance leadership roles (e.g., Head of Department for Career Services), and deployment decisions. Embedding</w:t>
      </w:r>
      <w:r>
        <w:t xml:space="preserve"> career guidance and development </w:t>
      </w:r>
      <w:r w:rsidRPr="006E7585">
        <w:t>within teacher career structures would legitimize career guidance as a core educational function and provide tangible incentives for professional uptake.</w:t>
      </w:r>
      <w:r>
        <w:t xml:space="preserve"> </w:t>
      </w:r>
      <w:r w:rsidRPr="0072130F">
        <w:t xml:space="preserve">Aligning CGD qualifications with promotion, remuneration, and designated leadership roles responds directly to evidence that teachers’ uptake of professional development is strongly influenced by career-oriented and practical motivational factors (Richter, Kleinknecht, &amp; </w:t>
      </w:r>
      <w:proofErr w:type="spellStart"/>
      <w:r w:rsidRPr="0072130F">
        <w:t>Gröschner</w:t>
      </w:r>
      <w:proofErr w:type="spellEnd"/>
      <w:r w:rsidRPr="0072130F">
        <w:t>, 2019).</w:t>
      </w:r>
    </w:p>
    <w:p w14:paraId="7D932DF2" w14:textId="77777777" w:rsidR="002B3948" w:rsidRPr="00CF5E9E" w:rsidRDefault="002B3948" w:rsidP="002B3948">
      <w:pPr>
        <w:rPr>
          <w:rFonts w:cs="Times New Roman"/>
          <w:i/>
          <w:szCs w:val="24"/>
        </w:rPr>
      </w:pPr>
      <w:r w:rsidRPr="00CF5E9E">
        <w:rPr>
          <w:rFonts w:cs="Times New Roman"/>
          <w:i/>
          <w:szCs w:val="24"/>
        </w:rPr>
        <w:t>Integration of Career Guidance and Development (CGD) into Continuous Professional Development</w:t>
      </w:r>
    </w:p>
    <w:p w14:paraId="12569DDE" w14:textId="77777777" w:rsidR="002B3948" w:rsidRPr="006E7585" w:rsidRDefault="002B3948" w:rsidP="002B3948">
      <w:pPr>
        <w:pStyle w:val="NormalWeb"/>
      </w:pPr>
      <w:r w:rsidRPr="006E7585">
        <w:t xml:space="preserve">Career guidance competencies should be integrated into national Continuous Professional Development frameworks. Positioning CGD as a core CPD strand would move it from the margins of teacher development </w:t>
      </w:r>
      <w:r>
        <w:t xml:space="preserve">to the mainstream of </w:t>
      </w:r>
      <w:r w:rsidRPr="006E7585">
        <w:t>professional practice, ensuring sustained engagement rather than voluntary participation. Basic CGD certification should be prioritized for teachers supporting junior and senior s</w:t>
      </w:r>
      <w:r>
        <w:t xml:space="preserve">chool </w:t>
      </w:r>
      <w:r w:rsidRPr="006E7585">
        <w:t>transitions.</w:t>
      </w:r>
    </w:p>
    <w:p w14:paraId="1FF3185B" w14:textId="77777777" w:rsidR="002B3948" w:rsidRPr="00CF5E9E" w:rsidRDefault="002B3948" w:rsidP="002B3948">
      <w:pPr>
        <w:rPr>
          <w:rFonts w:cs="Times New Roman"/>
          <w:i/>
          <w:szCs w:val="24"/>
        </w:rPr>
      </w:pPr>
      <w:r w:rsidRPr="00CF5E9E">
        <w:rPr>
          <w:rFonts w:cs="Times New Roman"/>
          <w:i/>
          <w:szCs w:val="24"/>
        </w:rPr>
        <w:t>Tiered and Stackable Training Pathways</w:t>
      </w:r>
    </w:p>
    <w:p w14:paraId="4BFA1235" w14:textId="77777777" w:rsidR="002B3948" w:rsidRPr="006E7585" w:rsidRDefault="002B3948" w:rsidP="002B3948">
      <w:pPr>
        <w:pStyle w:val="NormalWeb"/>
      </w:pPr>
      <w:r w:rsidRPr="006E7585">
        <w:t xml:space="preserve">Training providers, in collaboration with </w:t>
      </w:r>
      <w:proofErr w:type="spellStart"/>
      <w:r w:rsidRPr="006E7585">
        <w:t>MoE</w:t>
      </w:r>
      <w:proofErr w:type="spellEnd"/>
      <w:r w:rsidRPr="006E7585">
        <w:t xml:space="preserve"> and TSC, should adopt tiered </w:t>
      </w:r>
      <w:r>
        <w:t xml:space="preserve">career guidance </w:t>
      </w:r>
      <w:r w:rsidRPr="006E7585">
        <w:t>learning pathways, beginning with short micro-credentials that articulate into intermediate certifications and diploma-level qualifications</w:t>
      </w:r>
      <w:r>
        <w:t xml:space="preserve"> or higher</w:t>
      </w:r>
      <w:r w:rsidRPr="006E7585">
        <w:t>. This approach aligns with adult learning principles and enables teachers to progressively build competence while managing workload and financial constraints.</w:t>
      </w:r>
    </w:p>
    <w:p w14:paraId="5399491B" w14:textId="77777777" w:rsidR="002B3948" w:rsidRPr="00CF5E9E" w:rsidRDefault="002B3948" w:rsidP="002B3948">
      <w:pPr>
        <w:rPr>
          <w:rFonts w:cs="Times New Roman"/>
          <w:i/>
          <w:szCs w:val="24"/>
        </w:rPr>
      </w:pPr>
      <w:r w:rsidRPr="00CF5E9E">
        <w:rPr>
          <w:rFonts w:cs="Times New Roman"/>
          <w:i/>
          <w:szCs w:val="24"/>
        </w:rPr>
        <w:t>Financial Access and Cost-Sharing Mechanisms</w:t>
      </w:r>
    </w:p>
    <w:p w14:paraId="35F0E636" w14:textId="4BE3E734" w:rsidR="002B3948" w:rsidRPr="006E7585" w:rsidRDefault="002B3948" w:rsidP="002B3948">
      <w:pPr>
        <w:pStyle w:val="NormalWeb"/>
      </w:pPr>
      <w:r w:rsidRPr="006E7585">
        <w:t>Given that cost is the most significant barrier to participation, collaborative financing models are essential. Partnerships between government, training institutions, development partners, SACCOs, and financial institutions should support scholarships, subsidized fees, and installment-based payment options. Targeted financial support should prioritize early-career teachers and educators in underserved regions.</w:t>
      </w:r>
    </w:p>
    <w:p w14:paraId="75BC84A0" w14:textId="77777777" w:rsidR="002B3948" w:rsidRPr="00CF5E9E" w:rsidRDefault="002B3948" w:rsidP="002B3948">
      <w:pPr>
        <w:rPr>
          <w:rFonts w:cs="Times New Roman"/>
          <w:i/>
          <w:szCs w:val="24"/>
        </w:rPr>
      </w:pPr>
      <w:r w:rsidRPr="00CF5E9E">
        <w:rPr>
          <w:rFonts w:cs="Times New Roman"/>
          <w:i/>
          <w:szCs w:val="24"/>
        </w:rPr>
        <w:t>Protected Time and School-Level Institutional Support</w:t>
      </w:r>
    </w:p>
    <w:p w14:paraId="5C38D440" w14:textId="77777777" w:rsidR="002B3948" w:rsidRDefault="002B3948" w:rsidP="002B3948">
      <w:pPr>
        <w:pStyle w:val="NormalWeb"/>
      </w:pPr>
      <w:r w:rsidRPr="006E7585">
        <w:t xml:space="preserve">School leadership and education authorities should allocate protected time for </w:t>
      </w:r>
      <w:r>
        <w:t xml:space="preserve">career guidance </w:t>
      </w:r>
      <w:r w:rsidRPr="006E7585">
        <w:t xml:space="preserve">training and practice. Workload adjustments, scheduled training periods, or study leave provisions would reduce time-related barriers and signal institutional commitment to career guidance. Schools should formally integrate </w:t>
      </w:r>
      <w:r>
        <w:t xml:space="preserve">career guidance </w:t>
      </w:r>
      <w:r w:rsidRPr="006E7585">
        <w:t>responsibilities into staffing structures and annual operational plans.</w:t>
      </w:r>
    </w:p>
    <w:p w14:paraId="0B338B45" w14:textId="77777777" w:rsidR="002B3948" w:rsidRPr="006E7585" w:rsidRDefault="002B3948" w:rsidP="002B3948">
      <w:pPr>
        <w:pStyle w:val="NormalWeb"/>
      </w:pPr>
    </w:p>
    <w:p w14:paraId="53729EBF" w14:textId="77777777" w:rsidR="002B3948" w:rsidRPr="00CF5E9E" w:rsidRDefault="002B3948" w:rsidP="002B3948">
      <w:pPr>
        <w:rPr>
          <w:rFonts w:cs="Times New Roman"/>
          <w:i/>
          <w:szCs w:val="24"/>
        </w:rPr>
      </w:pPr>
      <w:r w:rsidRPr="00CF5E9E">
        <w:rPr>
          <w:rFonts w:cs="Times New Roman"/>
          <w:i/>
          <w:szCs w:val="24"/>
        </w:rPr>
        <w:lastRenderedPageBreak/>
        <w:t>Flexible Delivery Modalities</w:t>
      </w:r>
    </w:p>
    <w:p w14:paraId="6F40E691" w14:textId="77777777" w:rsidR="002B3948" w:rsidRPr="006E7585" w:rsidRDefault="002B3948" w:rsidP="002B3948">
      <w:pPr>
        <w:pStyle w:val="NormalWeb"/>
      </w:pPr>
      <w:r w:rsidRPr="006E7585">
        <w:t xml:space="preserve">Blended and online </w:t>
      </w:r>
      <w:r>
        <w:t xml:space="preserve">career guidance </w:t>
      </w:r>
      <w:r w:rsidRPr="006E7585">
        <w:t>training models should be expanded to enhance accessibility, particularly for teachers in remote or marginalized areas. Flexible delivery is not merely a convenience but a necessary condition for equitable participation in professional development.</w:t>
      </w:r>
    </w:p>
    <w:p w14:paraId="27DA3912" w14:textId="77777777" w:rsidR="002B3948" w:rsidRPr="00CF5E9E" w:rsidRDefault="002B3948" w:rsidP="002B3948">
      <w:pPr>
        <w:rPr>
          <w:rFonts w:cs="Times New Roman"/>
          <w:i/>
          <w:szCs w:val="24"/>
        </w:rPr>
      </w:pPr>
      <w:r w:rsidRPr="00CF5E9E">
        <w:rPr>
          <w:rFonts w:cs="Times New Roman"/>
          <w:i/>
          <w:szCs w:val="24"/>
        </w:rPr>
        <w:t>Monitoring, Evaluation, and Continuous Improvement</w:t>
      </w:r>
    </w:p>
    <w:p w14:paraId="79CC2CB2" w14:textId="77777777" w:rsidR="002B3948" w:rsidRDefault="002B3948" w:rsidP="002B3948">
      <w:pPr>
        <w:pStyle w:val="NormalWeb"/>
      </w:pPr>
      <w:r w:rsidRPr="006E7585">
        <w:t xml:space="preserve">TSC and </w:t>
      </w:r>
      <w:proofErr w:type="spellStart"/>
      <w:r w:rsidRPr="006E7585">
        <w:t>MoE</w:t>
      </w:r>
      <w:proofErr w:type="spellEnd"/>
      <w:r w:rsidRPr="006E7585">
        <w:t xml:space="preserve"> should establish mechanisms to track trained teachers, assess learner transition outcomes, and collect feedback from schools. Evidence from monitoring should inform continuous refinement of </w:t>
      </w:r>
      <w:r>
        <w:t>career guidance</w:t>
      </w:r>
      <w:r w:rsidRPr="006E7585">
        <w:t xml:space="preserve"> curricula, delivery modalities, and support mechanisms, ensuring responsiveness to evolving CBE demands.</w:t>
      </w:r>
    </w:p>
    <w:p w14:paraId="28DB9B9B" w14:textId="77777777" w:rsidR="002B3948" w:rsidRPr="00F97D34" w:rsidRDefault="002B3948" w:rsidP="002B3948">
      <w:pPr>
        <w:rPr>
          <w:rFonts w:cs="Times New Roman"/>
          <w:b/>
          <w:szCs w:val="24"/>
        </w:rPr>
      </w:pPr>
      <w:r>
        <w:rPr>
          <w:rFonts w:cs="Times New Roman"/>
          <w:b/>
          <w:szCs w:val="24"/>
        </w:rPr>
        <w:t>9</w:t>
      </w:r>
      <w:r w:rsidRPr="00F97D34">
        <w:rPr>
          <w:rFonts w:cs="Times New Roman"/>
          <w:b/>
          <w:szCs w:val="24"/>
        </w:rPr>
        <w:t>. Limitations and Future Research</w:t>
      </w:r>
    </w:p>
    <w:p w14:paraId="0BED555D" w14:textId="77777777" w:rsidR="002B3948" w:rsidRDefault="002B3948" w:rsidP="002B3948">
      <w:pPr>
        <w:pStyle w:val="NormalWeb"/>
      </w:pPr>
      <w:r>
        <w:t>While this study provides valuable national-level insights into teachers’ perspectives on Career Guidance and Development (CGD) training in Kenya, several limitations should be acknowledged. First, reliance on purposive and convenience sampling through online platforms limits statistical generalizability; although participants were drawn from 35 counties, findings should be interpreted as exploratory and indicative rather than nationally representative.</w:t>
      </w:r>
    </w:p>
    <w:p w14:paraId="2AF09246" w14:textId="77777777" w:rsidR="002B3948" w:rsidRDefault="002B3948" w:rsidP="002B3948">
      <w:pPr>
        <w:pStyle w:val="NormalWeb"/>
      </w:pPr>
      <w:r>
        <w:t>Second, data were self-reported and collected through an online survey, which may introduce response and coverage bias, particularly for teachers with limited digital access. Future studies could triangulate survey findings with classroom observations or assessments of career guidance and development competence to strengthen validity.</w:t>
      </w:r>
    </w:p>
    <w:p w14:paraId="6A2857D3" w14:textId="77777777" w:rsidR="002B3948" w:rsidRDefault="002B3948" w:rsidP="002B3948">
      <w:pPr>
        <w:pStyle w:val="NormalWeb"/>
      </w:pPr>
      <w:r>
        <w:t>Third, the cross-sectional design captures perceptions at a single point in time and does not permit examination of changes following career guidance training. Longitudinal research is recommended to assess how different professional development pathways influence teacher practice and learner outcomes.</w:t>
      </w:r>
    </w:p>
    <w:p w14:paraId="28BE3609" w14:textId="77777777" w:rsidR="002B3948" w:rsidRDefault="002B3948" w:rsidP="002B3948">
      <w:pPr>
        <w:pStyle w:val="NormalWeb"/>
      </w:pPr>
      <w:r>
        <w:t>Future research should also examine learner and parent perspectives on career guidance under CBE, explore school leadership roles in enabling the implementation of career guidance, and evaluate specific training models, such as tiered micro-credential pathways and blended delivery formats, using quasi-experimental designs to inform scalable national interventions.</w:t>
      </w:r>
    </w:p>
    <w:p w14:paraId="242BBED4" w14:textId="77777777" w:rsidR="002B3948" w:rsidRPr="00F97D34" w:rsidRDefault="002B3948" w:rsidP="002B3948">
      <w:pPr>
        <w:rPr>
          <w:rFonts w:cs="Times New Roman"/>
          <w:b/>
          <w:szCs w:val="24"/>
        </w:rPr>
      </w:pPr>
      <w:r w:rsidRPr="00F97D34">
        <w:rPr>
          <w:rFonts w:cs="Times New Roman"/>
          <w:b/>
          <w:szCs w:val="24"/>
        </w:rPr>
        <w:t>References</w:t>
      </w:r>
    </w:p>
    <w:p w14:paraId="3D449066" w14:textId="77777777" w:rsidR="002B3948" w:rsidRPr="002B3948" w:rsidRDefault="002B3948" w:rsidP="002B3948">
      <w:pPr>
        <w:pStyle w:val="NormalWeb"/>
        <w:ind w:left="720" w:hanging="720"/>
      </w:pPr>
      <w:r w:rsidRPr="002B3948">
        <w:t xml:space="preserve">Alloph, J. M., &amp; </w:t>
      </w:r>
      <w:proofErr w:type="spellStart"/>
      <w:r w:rsidRPr="002B3948">
        <w:t>Msonge</w:t>
      </w:r>
      <w:proofErr w:type="spellEnd"/>
      <w:r w:rsidRPr="002B3948">
        <w:t xml:space="preserve">, E. (2023). Challenges facing teachers in providing career guidance services to secondary school students in Magu District, Tanzania. </w:t>
      </w:r>
      <w:r w:rsidRPr="002B3948">
        <w:rPr>
          <w:rStyle w:val="Emphasis"/>
        </w:rPr>
        <w:t>East African Journal of Education Studies, 6</w:t>
      </w:r>
      <w:r w:rsidRPr="002B3948">
        <w:t>(2), 171–181.</w:t>
      </w:r>
    </w:p>
    <w:p w14:paraId="0A647A8A" w14:textId="77777777" w:rsidR="002B3948" w:rsidRPr="002B3948" w:rsidRDefault="002B3948" w:rsidP="002B3948">
      <w:pPr>
        <w:pStyle w:val="NormalWeb"/>
        <w:ind w:left="720" w:hanging="720"/>
      </w:pPr>
      <w:r w:rsidRPr="002B3948">
        <w:t xml:space="preserve">Baltar, F., &amp; Brunet, I. (2012). Social research 2.0: Virtual snowball sampling method using Facebook. </w:t>
      </w:r>
      <w:r w:rsidRPr="002B3948">
        <w:rPr>
          <w:rStyle w:val="Emphasis"/>
        </w:rPr>
        <w:t>Internet Research, 22</w:t>
      </w:r>
      <w:r w:rsidRPr="002B3948">
        <w:t xml:space="preserve">(1), 57–74. </w:t>
      </w:r>
      <w:hyperlink r:id="rId9" w:history="1">
        <w:r w:rsidRPr="002B3948">
          <w:rPr>
            <w:rStyle w:val="Hyperlink"/>
            <w:color w:val="auto"/>
          </w:rPr>
          <w:t>https://doi.org/10.1108/10662241211199960</w:t>
        </w:r>
      </w:hyperlink>
    </w:p>
    <w:p w14:paraId="4BBDBFAC" w14:textId="77777777" w:rsidR="002B3948" w:rsidRPr="002B3948" w:rsidRDefault="002B3948" w:rsidP="002B3948">
      <w:pPr>
        <w:pStyle w:val="NormalWeb"/>
        <w:ind w:left="720" w:hanging="720"/>
      </w:pPr>
      <w:proofErr w:type="spellStart"/>
      <w:r w:rsidRPr="002B3948">
        <w:t>Bantwini</w:t>
      </w:r>
      <w:proofErr w:type="spellEnd"/>
      <w:r w:rsidRPr="002B3948">
        <w:t xml:space="preserve">, B. D. (2019). Developing a culture of collaboration and learning among natural science teachers as a continuous professional development approach in a province in South Africa. </w:t>
      </w:r>
      <w:r w:rsidRPr="002B3948">
        <w:rPr>
          <w:rStyle w:val="Emphasis"/>
        </w:rPr>
        <w:t>Teacher Development, 23</w:t>
      </w:r>
      <w:r w:rsidRPr="002B3948">
        <w:t xml:space="preserve">(2), 213–232. </w:t>
      </w:r>
      <w:hyperlink r:id="rId10" w:history="1">
        <w:r w:rsidRPr="002B3948">
          <w:rPr>
            <w:rStyle w:val="Hyperlink"/>
            <w:color w:val="auto"/>
          </w:rPr>
          <w:t>https://doi.org/10.1080/13664530.2018.1533491</w:t>
        </w:r>
      </w:hyperlink>
    </w:p>
    <w:p w14:paraId="496F0486" w14:textId="77777777" w:rsidR="002B3948" w:rsidRPr="002B3948" w:rsidRDefault="002B3948" w:rsidP="002B3948">
      <w:pPr>
        <w:pStyle w:val="NormalWeb"/>
        <w:ind w:left="720" w:hanging="720"/>
      </w:pPr>
      <w:r w:rsidRPr="002B3948">
        <w:t xml:space="preserve">Bersan, O. S., </w:t>
      </w:r>
      <w:proofErr w:type="spellStart"/>
      <w:r w:rsidRPr="002B3948">
        <w:t>Lustrea</w:t>
      </w:r>
      <w:proofErr w:type="spellEnd"/>
      <w:r w:rsidRPr="002B3948">
        <w:t xml:space="preserve">, A., Sava, S., &amp; Bobic, O. (2024). Training teachers for the career guidance of high school students. </w:t>
      </w:r>
      <w:r w:rsidRPr="002B3948">
        <w:rPr>
          <w:rStyle w:val="Emphasis"/>
        </w:rPr>
        <w:t>Education Sciences, 14</w:t>
      </w:r>
      <w:r w:rsidRPr="002B3948">
        <w:t>(3), Article 289.</w:t>
      </w:r>
    </w:p>
    <w:p w14:paraId="430D56C1" w14:textId="77777777" w:rsidR="002B3948" w:rsidRPr="002B3948" w:rsidRDefault="002B3948" w:rsidP="002B3948">
      <w:pPr>
        <w:pStyle w:val="NormalWeb"/>
        <w:ind w:left="720" w:hanging="720"/>
      </w:pPr>
      <w:r w:rsidRPr="002B3948">
        <w:lastRenderedPageBreak/>
        <w:t xml:space="preserve">Cochran, W. G. (1977). </w:t>
      </w:r>
      <w:r w:rsidRPr="002B3948">
        <w:rPr>
          <w:rStyle w:val="Emphasis"/>
        </w:rPr>
        <w:t>Sampling techniques</w:t>
      </w:r>
      <w:r w:rsidRPr="002B3948">
        <w:t xml:space="preserve"> (3rd ed.). John Wiley &amp; Sons.</w:t>
      </w:r>
    </w:p>
    <w:p w14:paraId="71C60E4A" w14:textId="77777777" w:rsidR="002B3948" w:rsidRPr="002B3948" w:rsidRDefault="002B3948" w:rsidP="002B3948">
      <w:pPr>
        <w:pStyle w:val="NormalWeb"/>
        <w:ind w:left="720" w:hanging="720"/>
      </w:pPr>
      <w:r w:rsidRPr="002B3948">
        <w:t xml:space="preserve">Creswell, J. W., &amp; Plano Clark, V. L. (2018). </w:t>
      </w:r>
      <w:r w:rsidRPr="002B3948">
        <w:rPr>
          <w:rStyle w:val="Emphasis"/>
        </w:rPr>
        <w:t>Designing and conducting mixed methods research</w:t>
      </w:r>
      <w:r w:rsidRPr="002B3948">
        <w:t xml:space="preserve"> (3rd ed.). SAGE Publications.</w:t>
      </w:r>
    </w:p>
    <w:p w14:paraId="561F2777" w14:textId="77777777" w:rsidR="002B3948" w:rsidRPr="002B3948" w:rsidRDefault="002B3948" w:rsidP="002B3948">
      <w:pPr>
        <w:pStyle w:val="NormalWeb"/>
        <w:ind w:left="720" w:hanging="720"/>
      </w:pPr>
      <w:r w:rsidRPr="002B3948">
        <w:t xml:space="preserve">Hooley, T., Neary, S., &amp; Dodd, V. (2024). Analyzing teachers’ competencies in career guidance: A systematic review. </w:t>
      </w:r>
      <w:r w:rsidRPr="002B3948">
        <w:rPr>
          <w:rStyle w:val="Emphasis"/>
        </w:rPr>
        <w:t>Frontiers in Education, 9</w:t>
      </w:r>
      <w:r w:rsidRPr="002B3948">
        <w:t>, Article 1488662.</w:t>
      </w:r>
    </w:p>
    <w:p w14:paraId="0439E05E" w14:textId="77777777" w:rsidR="002B3948" w:rsidRPr="002B3948" w:rsidRDefault="002B3948" w:rsidP="002B3948">
      <w:pPr>
        <w:pStyle w:val="NormalWeb"/>
        <w:ind w:left="720" w:hanging="720"/>
      </w:pPr>
      <w:proofErr w:type="spellStart"/>
      <w:r w:rsidRPr="002B3948">
        <w:t>Krejcie</w:t>
      </w:r>
      <w:proofErr w:type="spellEnd"/>
      <w:r w:rsidRPr="002B3948">
        <w:t xml:space="preserve">, R. V., &amp; Morgan, D. W. (1970). Determining sample size for research activities. </w:t>
      </w:r>
      <w:r w:rsidRPr="002B3948">
        <w:rPr>
          <w:rStyle w:val="Emphasis"/>
        </w:rPr>
        <w:t>Educational and Psychological Measurement, 30</w:t>
      </w:r>
      <w:r w:rsidRPr="002B3948">
        <w:t xml:space="preserve">(3), 607–610. </w:t>
      </w:r>
      <w:hyperlink r:id="rId11" w:history="1">
        <w:r w:rsidRPr="002B3948">
          <w:rPr>
            <w:rStyle w:val="Hyperlink"/>
            <w:color w:val="auto"/>
          </w:rPr>
          <w:t>https://doi.org/10.1177/001316447003000308</w:t>
        </w:r>
      </w:hyperlink>
    </w:p>
    <w:p w14:paraId="3B612B59" w14:textId="77777777" w:rsidR="002B3948" w:rsidRPr="002B3948" w:rsidRDefault="002B3948" w:rsidP="002B3948">
      <w:pPr>
        <w:pStyle w:val="NormalWeb"/>
        <w:ind w:left="720" w:hanging="720"/>
      </w:pPr>
      <w:r w:rsidRPr="002B3948">
        <w:t xml:space="preserve">Özdemir, M., &amp; Kılıç, A. (2025). Barriers to the professional development of teachers working in public schools. </w:t>
      </w:r>
      <w:r w:rsidRPr="002B3948">
        <w:rPr>
          <w:rStyle w:val="Emphasis"/>
        </w:rPr>
        <w:t>Humanities and Social Sciences Communications, 12</w:t>
      </w:r>
      <w:r w:rsidRPr="002B3948">
        <w:t>, Article 209.</w:t>
      </w:r>
    </w:p>
    <w:p w14:paraId="19C8CDD3" w14:textId="77777777" w:rsidR="002B3948" w:rsidRPr="002B3948" w:rsidRDefault="002B3948" w:rsidP="002B3948">
      <w:pPr>
        <w:pStyle w:val="NormalWeb"/>
        <w:ind w:left="720" w:hanging="720"/>
      </w:pPr>
      <w:proofErr w:type="spellStart"/>
      <w:r w:rsidRPr="002B3948">
        <w:t>Otwine</w:t>
      </w:r>
      <w:proofErr w:type="spellEnd"/>
      <w:r w:rsidRPr="002B3948">
        <w:t xml:space="preserve">, A. T., Matagi, L., </w:t>
      </w:r>
      <w:proofErr w:type="spellStart"/>
      <w:r w:rsidRPr="002B3948">
        <w:t>Kiweewa</w:t>
      </w:r>
      <w:proofErr w:type="spellEnd"/>
      <w:r w:rsidRPr="002B3948">
        <w:t xml:space="preserve">, J. M., &amp; </w:t>
      </w:r>
      <w:proofErr w:type="spellStart"/>
      <w:r w:rsidRPr="002B3948">
        <w:t>Ainamaani</w:t>
      </w:r>
      <w:proofErr w:type="spellEnd"/>
      <w:r w:rsidRPr="002B3948">
        <w:t xml:space="preserve">, H. E. (2022). Efficacy of career guidance and counselling among secondary schools in Uganda. </w:t>
      </w:r>
      <w:r w:rsidRPr="002B3948">
        <w:rPr>
          <w:rStyle w:val="Emphasis"/>
        </w:rPr>
        <w:t>African Journal of Career Development, 4</w:t>
      </w:r>
      <w:r w:rsidRPr="002B3948">
        <w:t>(1), Article a55.</w:t>
      </w:r>
    </w:p>
    <w:p w14:paraId="478CDEFC" w14:textId="77777777" w:rsidR="002B3948" w:rsidRPr="002B3948" w:rsidRDefault="002B3948" w:rsidP="002B3948">
      <w:pPr>
        <w:pStyle w:val="NormalWeb"/>
        <w:ind w:left="720" w:hanging="720"/>
      </w:pPr>
      <w:r w:rsidRPr="002B3948">
        <w:t xml:space="preserve">Richter, D., Kleinknecht, M., &amp; </w:t>
      </w:r>
      <w:proofErr w:type="spellStart"/>
      <w:r w:rsidRPr="002B3948">
        <w:t>Gröschner</w:t>
      </w:r>
      <w:proofErr w:type="spellEnd"/>
      <w:r w:rsidRPr="002B3948">
        <w:t xml:space="preserve">, A. (2019). What motivates teachers to participate in professional development? An empirical investigation of motivational orientations and the uptake of formal learning opportunities. </w:t>
      </w:r>
      <w:r w:rsidRPr="002B3948">
        <w:rPr>
          <w:rStyle w:val="Emphasis"/>
        </w:rPr>
        <w:t>Teaching and Teacher Education, 86</w:t>
      </w:r>
      <w:r w:rsidRPr="002B3948">
        <w:t xml:space="preserve">, 102929. </w:t>
      </w:r>
      <w:hyperlink r:id="rId12" w:history="1">
        <w:r w:rsidRPr="002B3948">
          <w:rPr>
            <w:rStyle w:val="Hyperlink"/>
            <w:color w:val="auto"/>
          </w:rPr>
          <w:t>https://doi.org/10.1016/j.tate.2019.102929</w:t>
        </w:r>
      </w:hyperlink>
    </w:p>
    <w:p w14:paraId="02534065" w14:textId="77777777" w:rsidR="002B3948" w:rsidRPr="002B3948" w:rsidRDefault="002B3948" w:rsidP="002B3948">
      <w:pPr>
        <w:pStyle w:val="NormalWeb"/>
        <w:ind w:left="720" w:hanging="720"/>
      </w:pPr>
      <w:r w:rsidRPr="002B3948">
        <w:t xml:space="preserve">Sarah, T., </w:t>
      </w:r>
      <w:proofErr w:type="spellStart"/>
      <w:r w:rsidRPr="002B3948">
        <w:t>Taarsila</w:t>
      </w:r>
      <w:proofErr w:type="spellEnd"/>
      <w:r w:rsidRPr="002B3948">
        <w:t xml:space="preserve">, &amp; Paul, P. (2019). How career guidance services affect career choice among public secondary school students in Meru County, Kenya. </w:t>
      </w:r>
      <w:r w:rsidRPr="002B3948">
        <w:rPr>
          <w:rStyle w:val="Emphasis"/>
        </w:rPr>
        <w:t>African Journal of Emerging Issues, 1</w:t>
      </w:r>
      <w:r w:rsidRPr="002B3948">
        <w:t>(8), 1–13.</w:t>
      </w:r>
    </w:p>
    <w:p w14:paraId="4EDA03CF" w14:textId="77777777" w:rsidR="002B3948" w:rsidRPr="002B3948" w:rsidRDefault="002B3948" w:rsidP="002B3948">
      <w:pPr>
        <w:pStyle w:val="NormalWeb"/>
        <w:ind w:left="720" w:hanging="720"/>
      </w:pPr>
      <w:r w:rsidRPr="002B3948">
        <w:t xml:space="preserve">Teddlie, C., &amp; </w:t>
      </w:r>
      <w:proofErr w:type="spellStart"/>
      <w:r w:rsidRPr="002B3948">
        <w:t>Tashakkori</w:t>
      </w:r>
      <w:proofErr w:type="spellEnd"/>
      <w:r w:rsidRPr="002B3948">
        <w:t xml:space="preserve">, A. (2009). </w:t>
      </w:r>
      <w:r w:rsidRPr="002B3948">
        <w:rPr>
          <w:rStyle w:val="Emphasis"/>
        </w:rPr>
        <w:t>Foundations of mixed methods research: Integrating quantitative and qualitative approaches in the social and behavioral sciences</w:t>
      </w:r>
      <w:r w:rsidRPr="002B3948">
        <w:t>. SAGE Publications.</w:t>
      </w:r>
    </w:p>
    <w:p w14:paraId="1CD100FC" w14:textId="77777777" w:rsidR="002B3948" w:rsidRPr="002B3948" w:rsidRDefault="002B3948" w:rsidP="002B3948">
      <w:pPr>
        <w:pStyle w:val="NormalWeb"/>
        <w:ind w:left="720" w:hanging="720"/>
      </w:pPr>
      <w:r w:rsidRPr="002B3948">
        <w:t xml:space="preserve">Wong, L. P. W., Yuen, M., &amp; Chen, G. (2021). Career-related teacher support: A review of roles that teachers play in supporting students’ career planning. </w:t>
      </w:r>
      <w:r w:rsidRPr="002B3948">
        <w:rPr>
          <w:rStyle w:val="Emphasis"/>
        </w:rPr>
        <w:t>Journal of Psychologists and Counsellors in Schools, 31</w:t>
      </w:r>
      <w:r w:rsidRPr="002B3948">
        <w:t>(1), 130–141.</w:t>
      </w:r>
    </w:p>
    <w:p w14:paraId="230AF9E2" w14:textId="77777777" w:rsidR="002B3948" w:rsidRPr="002B3948" w:rsidRDefault="002B3948" w:rsidP="002B3948">
      <w:pPr>
        <w:ind w:left="720" w:hanging="720"/>
        <w:rPr>
          <w:lang w:eastAsia="ar-SA"/>
        </w:rPr>
      </w:pPr>
    </w:p>
    <w:sectPr w:rsidR="002B3948" w:rsidRPr="002B3948" w:rsidSect="002B3948">
      <w:headerReference w:type="default" r:id="rId13"/>
      <w:footerReference w:type="default" r:id="rId14"/>
      <w:headerReference w:type="first" r:id="rId15"/>
      <w:footerReference w:type="first" r:id="rId16"/>
      <w:pgSz w:w="11906" w:h="16838" w:code="9"/>
      <w:pgMar w:top="1440" w:right="1440" w:bottom="1440" w:left="1440" w:header="709" w:footer="709" w:gutter="0"/>
      <w:pgNumType w:start="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F1E46" w14:textId="77777777" w:rsidR="006A0CC2" w:rsidRDefault="006A0CC2" w:rsidP="004870A7">
      <w:pPr>
        <w:spacing w:after="0"/>
      </w:pPr>
      <w:r>
        <w:separator/>
      </w:r>
    </w:p>
  </w:endnote>
  <w:endnote w:type="continuationSeparator" w:id="0">
    <w:p w14:paraId="057A8186" w14:textId="77777777" w:rsidR="006A0CC2" w:rsidRDefault="006A0CC2" w:rsidP="004870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Ten-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F">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586404"/>
      <w:docPartObj>
        <w:docPartGallery w:val="Page Numbers (Bottom of Page)"/>
        <w:docPartUnique/>
      </w:docPartObj>
    </w:sdtPr>
    <w:sdtEndPr>
      <w:rPr>
        <w:noProof/>
      </w:rPr>
    </w:sdtEndPr>
    <w:sdtContent>
      <w:p w14:paraId="493A0A2B" w14:textId="54EDAEAA" w:rsidR="00E340FD" w:rsidRDefault="00E340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A86182" w14:textId="77777777" w:rsidR="005937E0" w:rsidRDefault="005937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664498"/>
      <w:docPartObj>
        <w:docPartGallery w:val="Page Numbers (Bottom of Page)"/>
        <w:docPartUnique/>
      </w:docPartObj>
    </w:sdtPr>
    <w:sdtEndPr>
      <w:rPr>
        <w:noProof/>
      </w:rPr>
    </w:sdtEndPr>
    <w:sdtContent>
      <w:p w14:paraId="212A4142" w14:textId="77777777" w:rsidR="00FC6661" w:rsidRDefault="00FC666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D164396" w14:textId="77777777" w:rsidR="00FC6661" w:rsidRDefault="00FC6661">
    <w:pPr>
      <w:pStyle w:val="Footer"/>
    </w:pPr>
  </w:p>
  <w:p w14:paraId="702CFDA8" w14:textId="77777777" w:rsidR="005937E0" w:rsidRDefault="005937E0"/>
  <w:p w14:paraId="19F31128" w14:textId="77777777" w:rsidR="005937E0" w:rsidRDefault="005937E0"/>
  <w:p w14:paraId="2CE0F556" w14:textId="77777777" w:rsidR="005937E0" w:rsidRDefault="005937E0"/>
  <w:p w14:paraId="53ECDFAD" w14:textId="77777777" w:rsidR="005937E0" w:rsidRDefault="005937E0"/>
  <w:p w14:paraId="7CA73A32" w14:textId="77777777" w:rsidR="005937E0" w:rsidRDefault="005937E0"/>
  <w:p w14:paraId="45CC6E88" w14:textId="77777777" w:rsidR="005937E0" w:rsidRDefault="005937E0"/>
  <w:p w14:paraId="5318347C" w14:textId="77777777" w:rsidR="005937E0" w:rsidRDefault="005937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5C1F5" w14:textId="77777777" w:rsidR="006A0CC2" w:rsidRDefault="006A0CC2" w:rsidP="004870A7">
      <w:pPr>
        <w:spacing w:after="0"/>
      </w:pPr>
      <w:r>
        <w:separator/>
      </w:r>
    </w:p>
  </w:footnote>
  <w:footnote w:type="continuationSeparator" w:id="0">
    <w:p w14:paraId="05EB07FF" w14:textId="77777777" w:rsidR="006A0CC2" w:rsidRDefault="006A0CC2" w:rsidP="004870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0079" w14:textId="1E759692" w:rsidR="0052203C" w:rsidRPr="0052203C" w:rsidRDefault="004870A7" w:rsidP="00B77D9C">
    <w:pPr>
      <w:spacing w:before="0" w:after="0"/>
      <w:ind w:left="-1008"/>
      <w:jc w:val="left"/>
      <w:rPr>
        <w:b/>
        <w:color w:val="2F5496" w:themeColor="accent5" w:themeShade="BF"/>
      </w:rPr>
    </w:pPr>
    <w:r w:rsidRPr="0052203C">
      <w:rPr>
        <w:b/>
        <w:noProof/>
        <w:color w:val="2F5496" w:themeColor="accent5" w:themeShade="BF"/>
      </w:rPr>
      <w:drawing>
        <wp:anchor distT="0" distB="0" distL="114300" distR="114300" simplePos="0" relativeHeight="251649536" behindDoc="1" locked="0" layoutInCell="1" allowOverlap="1" wp14:anchorId="166A2AD4" wp14:editId="7D202164">
          <wp:simplePos x="0" y="0"/>
          <wp:positionH relativeFrom="column">
            <wp:posOffset>3801110</wp:posOffset>
          </wp:positionH>
          <wp:positionV relativeFrom="paragraph">
            <wp:posOffset>-280670</wp:posOffset>
          </wp:positionV>
          <wp:extent cx="2661285" cy="963696"/>
          <wp:effectExtent l="0" t="0" r="571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61285" cy="963696"/>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52203C">
      <w:rPr>
        <w:b/>
        <w:color w:val="2F5496" w:themeColor="accent5" w:themeShade="BF"/>
      </w:rPr>
      <w:t>EdinBurg</w:t>
    </w:r>
    <w:proofErr w:type="spellEnd"/>
    <w:r w:rsidRPr="0052203C">
      <w:rPr>
        <w:b/>
        <w:color w:val="2F5496" w:themeColor="accent5" w:themeShade="BF"/>
      </w:rPr>
      <w:t xml:space="preserve"> </w:t>
    </w:r>
    <w:r w:rsidR="002B2339">
      <w:rPr>
        <w:b/>
        <w:color w:val="2F5496" w:themeColor="accent5" w:themeShade="BF"/>
      </w:rPr>
      <w:t>Peer-Reviewed</w:t>
    </w:r>
    <w:r w:rsidR="0052203C" w:rsidRPr="0052203C">
      <w:rPr>
        <w:b/>
        <w:color w:val="2F5496" w:themeColor="accent5" w:themeShade="BF"/>
      </w:rPr>
      <w:t xml:space="preserve"> Journals and Book</w:t>
    </w:r>
    <w:r w:rsidR="00805719">
      <w:rPr>
        <w:b/>
        <w:color w:val="2F5496" w:themeColor="accent5" w:themeShade="BF"/>
      </w:rPr>
      <w:t>s</w:t>
    </w:r>
    <w:r w:rsidR="0052203C" w:rsidRPr="0052203C">
      <w:rPr>
        <w:b/>
        <w:color w:val="2F5496" w:themeColor="accent5" w:themeShade="BF"/>
      </w:rPr>
      <w:t xml:space="preserve"> </w:t>
    </w:r>
    <w:r w:rsidRPr="0052203C">
      <w:rPr>
        <w:b/>
        <w:color w:val="2F5496" w:themeColor="accent5" w:themeShade="BF"/>
      </w:rPr>
      <w:t>Publishers</w:t>
    </w:r>
  </w:p>
  <w:p w14:paraId="54D80CE1" w14:textId="35532F80" w:rsidR="0052203C" w:rsidRPr="0052203C" w:rsidRDefault="00222593" w:rsidP="00B77D9C">
    <w:pPr>
      <w:spacing w:before="0" w:after="0"/>
      <w:ind w:left="-1008"/>
      <w:jc w:val="left"/>
      <w:rPr>
        <w:b/>
        <w:color w:val="2F5496" w:themeColor="accent5" w:themeShade="BF"/>
      </w:rPr>
    </w:pPr>
    <w:r>
      <w:rPr>
        <w:b/>
        <w:color w:val="2F5496" w:themeColor="accent5" w:themeShade="BF"/>
      </w:rPr>
      <w:t>Journal</w:t>
    </w:r>
    <w:r w:rsidR="00807DEF">
      <w:rPr>
        <w:b/>
        <w:color w:val="2F5496" w:themeColor="accent5" w:themeShade="BF"/>
      </w:rPr>
      <w:t xml:space="preserve"> of </w:t>
    </w:r>
    <w:r w:rsidR="00EC4884">
      <w:rPr>
        <w:b/>
        <w:color w:val="2F5496" w:themeColor="accent5" w:themeShade="BF"/>
      </w:rPr>
      <w:t>Education</w:t>
    </w:r>
  </w:p>
  <w:p w14:paraId="71AE07A1" w14:textId="4613D858" w:rsidR="00551F17" w:rsidRDefault="00551F17" w:rsidP="00551F17">
    <w:pPr>
      <w:spacing w:before="0" w:after="0"/>
      <w:ind w:left="-1008"/>
      <w:jc w:val="left"/>
      <w:rPr>
        <w:b/>
        <w:color w:val="2F5496" w:themeColor="accent5" w:themeShade="BF"/>
      </w:rPr>
    </w:pPr>
    <w:r>
      <w:rPr>
        <w:b/>
        <w:color w:val="2F5496" w:themeColor="accent5" w:themeShade="BF"/>
      </w:rPr>
      <w:t xml:space="preserve">Vol. </w:t>
    </w:r>
    <w:r w:rsidR="00F467E2">
      <w:rPr>
        <w:b/>
        <w:color w:val="2F5496" w:themeColor="accent5" w:themeShade="BF"/>
      </w:rPr>
      <w:t>6</w:t>
    </w:r>
    <w:r w:rsidRPr="00C1723E">
      <w:rPr>
        <w:color w:val="1F3864" w:themeColor="accent5" w:themeShade="80"/>
      </w:rPr>
      <w:t>||</w:t>
    </w:r>
    <w:r w:rsidR="00B064FD">
      <w:rPr>
        <w:b/>
        <w:color w:val="2F5496" w:themeColor="accent5" w:themeShade="BF"/>
      </w:rPr>
      <w:t>Issue</w:t>
    </w:r>
    <w:r>
      <w:rPr>
        <w:b/>
        <w:color w:val="2F5496" w:themeColor="accent5" w:themeShade="BF"/>
      </w:rPr>
      <w:t xml:space="preserve"> </w:t>
    </w:r>
    <w:r w:rsidR="00FC28CB">
      <w:rPr>
        <w:b/>
        <w:color w:val="2F5496" w:themeColor="accent5" w:themeShade="BF"/>
      </w:rPr>
      <w:t>3</w:t>
    </w:r>
    <w:r w:rsidRPr="00C1723E">
      <w:rPr>
        <w:color w:val="1F3864" w:themeColor="accent5" w:themeShade="80"/>
      </w:rPr>
      <w:t>||</w:t>
    </w:r>
    <w:r>
      <w:rPr>
        <w:b/>
        <w:color w:val="2F5496" w:themeColor="accent5" w:themeShade="BF"/>
      </w:rPr>
      <w:t xml:space="preserve">pp </w:t>
    </w:r>
    <w:r w:rsidR="002B3948">
      <w:rPr>
        <w:b/>
        <w:color w:val="2F5496" w:themeColor="accent5" w:themeShade="BF"/>
      </w:rPr>
      <w:t>62</w:t>
    </w:r>
    <w:r>
      <w:rPr>
        <w:b/>
        <w:color w:val="2F5496" w:themeColor="accent5" w:themeShade="BF"/>
      </w:rPr>
      <w:t>-</w:t>
    </w:r>
    <w:r w:rsidR="002B3948">
      <w:rPr>
        <w:b/>
        <w:color w:val="2F5496" w:themeColor="accent5" w:themeShade="BF"/>
      </w:rPr>
      <w:t>77</w:t>
    </w:r>
    <w:r w:rsidRPr="00C1723E">
      <w:rPr>
        <w:color w:val="1F3864" w:themeColor="accent5" w:themeShade="80"/>
      </w:rPr>
      <w:t>||</w:t>
    </w:r>
    <w:r w:rsidR="00222593">
      <w:rPr>
        <w:b/>
        <w:color w:val="2F5496" w:themeColor="accent5" w:themeShade="BF"/>
      </w:rPr>
      <w:t>June</w:t>
    </w:r>
    <w:r w:rsidRPr="00C1723E">
      <w:rPr>
        <w:color w:val="1F3864" w:themeColor="accent5" w:themeShade="80"/>
      </w:rPr>
      <w:t>||</w:t>
    </w:r>
    <w:r>
      <w:rPr>
        <w:b/>
        <w:color w:val="2F5496" w:themeColor="accent5" w:themeShade="BF"/>
      </w:rPr>
      <w:t>202</w:t>
    </w:r>
    <w:r w:rsidR="00F467E2">
      <w:rPr>
        <w:b/>
        <w:color w:val="2F5496" w:themeColor="accent5" w:themeShade="BF"/>
      </w:rPr>
      <w:t>6</w:t>
    </w:r>
  </w:p>
  <w:p w14:paraId="2A808C44" w14:textId="614F8E8C" w:rsidR="005937E0" w:rsidRDefault="00551F17" w:rsidP="00E340FD">
    <w:pPr>
      <w:spacing w:before="0" w:after="0"/>
      <w:ind w:left="-1008"/>
      <w:jc w:val="left"/>
      <w:rPr>
        <w:b/>
        <w:color w:val="2F5496" w:themeColor="accent5" w:themeShade="BF"/>
      </w:rPr>
    </w:pPr>
    <w:r>
      <w:rPr>
        <w:rFonts w:eastAsia="Times New Roman"/>
        <w:noProof/>
      </w:rPr>
      <mc:AlternateContent>
        <mc:Choice Requires="wps">
          <w:drawing>
            <wp:anchor distT="0" distB="0" distL="114300" distR="114300" simplePos="0" relativeHeight="251660800" behindDoc="0" locked="0" layoutInCell="1" allowOverlap="1" wp14:anchorId="70E4AF07" wp14:editId="101B8CF1">
              <wp:simplePos x="0" y="0"/>
              <wp:positionH relativeFrom="column">
                <wp:posOffset>-914400</wp:posOffset>
              </wp:positionH>
              <wp:positionV relativeFrom="paragraph">
                <wp:posOffset>198120</wp:posOffset>
              </wp:positionV>
              <wp:extent cx="7924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924800" cy="0"/>
                      </a:xfrm>
                      <a:prstGeom prst="line">
                        <a:avLst/>
                      </a:prstGeom>
                      <a:ln w="19050">
                        <a:solidFill>
                          <a:srgbClr val="00206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7AD93855" id="Straight Connector 1"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in,15.6pt" to="55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" strokecolor="#002060" strokeweight="1.5pt">
              <v:stroke joinstyle="miter"/>
            </v:line>
          </w:pict>
        </mc:Fallback>
      </mc:AlternateContent>
    </w:r>
    <w:r>
      <w:rPr>
        <w:b/>
        <w:color w:val="2F5496" w:themeColor="accent5" w:themeShade="BF"/>
      </w:rPr>
      <w:t>Email: info@edinburgjournals.org</w:t>
    </w:r>
    <w:r w:rsidR="0049623A" w:rsidRPr="00C1723E">
      <w:rPr>
        <w:color w:val="1F3864" w:themeColor="accent5" w:themeShade="80"/>
      </w:rPr>
      <w:t>||</w:t>
    </w:r>
    <w:r w:rsidR="0049623A">
      <w:rPr>
        <w:b/>
        <w:color w:val="2F5496" w:themeColor="accent5" w:themeShade="BF"/>
      </w:rPr>
      <w:t>ISSN: 2790-3141</w:t>
    </w:r>
  </w:p>
  <w:p w14:paraId="392E9A6A" w14:textId="77777777" w:rsidR="00E565A7" w:rsidRPr="00E340FD" w:rsidRDefault="00E565A7" w:rsidP="00E340FD">
    <w:pPr>
      <w:spacing w:before="0" w:after="0"/>
      <w:ind w:left="-1008"/>
      <w:jc w:val="left"/>
      <w:rPr>
        <w:b/>
        <w:color w:val="2F5496" w:themeColor="accent5" w:theme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F3BB" w14:textId="77777777" w:rsidR="004116FB" w:rsidRDefault="00565874">
    <w:pPr>
      <w:pStyle w:val="Header"/>
    </w:pPr>
    <w:r>
      <w:rPr>
        <w:noProof/>
      </w:rPr>
      <mc:AlternateContent>
        <mc:Choice Requires="wps">
          <w:drawing>
            <wp:anchor distT="45720" distB="45720" distL="114300" distR="114300" simplePos="0" relativeHeight="251658752" behindDoc="0" locked="0" layoutInCell="1" allowOverlap="1" wp14:anchorId="64F87F7F" wp14:editId="64998DFC">
              <wp:simplePos x="0" y="0"/>
              <wp:positionH relativeFrom="page">
                <wp:posOffset>5314950</wp:posOffset>
              </wp:positionH>
              <wp:positionV relativeFrom="paragraph">
                <wp:posOffset>-295275</wp:posOffset>
              </wp:positionV>
              <wp:extent cx="2257425" cy="742950"/>
              <wp:effectExtent l="0" t="0" r="952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742950"/>
                      </a:xfrm>
                      <a:prstGeom prst="rect">
                        <a:avLst/>
                      </a:prstGeom>
                      <a:solidFill>
                        <a:srgbClr val="FFFFFF"/>
                      </a:solidFill>
                      <a:ln w="9525">
                        <a:noFill/>
                        <a:miter lim="800000"/>
                        <a:headEnd/>
                        <a:tailEnd/>
                      </a:ln>
                    </wps:spPr>
                    <wps:txbx>
                      <w:txbxContent>
                        <w:p w14:paraId="70ACB47C" w14:textId="77777777" w:rsidR="00565874" w:rsidRPr="00565874" w:rsidRDefault="00565874" w:rsidP="00565874">
                          <w:pPr>
                            <w:spacing w:line="216" w:lineRule="auto"/>
                            <w:contextualSpacing/>
                            <w:jc w:val="center"/>
                            <w:rPr>
                              <w:rFonts w:ascii="Arial" w:hAnsi="Arial" w:cs="Arial"/>
                            </w:rPr>
                          </w:pPr>
                          <w:r w:rsidRPr="00565874">
                            <w:rPr>
                              <w:rFonts w:ascii="Arial" w:hAnsi="Arial" w:cs="Arial"/>
                            </w:rPr>
                            <w:t>ISSN: XXX-XXXX</w:t>
                          </w:r>
                        </w:p>
                        <w:p w14:paraId="2C94E4A5" w14:textId="77777777" w:rsidR="00565874" w:rsidRPr="00565874" w:rsidRDefault="00565874" w:rsidP="00565874">
                          <w:pPr>
                            <w:spacing w:line="216" w:lineRule="auto"/>
                            <w:contextualSpacing/>
                            <w:jc w:val="center"/>
                            <w:rPr>
                              <w:rFonts w:ascii="Arial" w:hAnsi="Arial" w:cs="Arial"/>
                              <w:b/>
                            </w:rPr>
                          </w:pPr>
                          <w:r w:rsidRPr="00565874">
                            <w:rPr>
                              <w:rFonts w:ascii="Arial" w:hAnsi="Arial" w:cs="Arial"/>
                              <w:b/>
                            </w:rPr>
                            <w:t>Journal of Public Policy &amp;</w:t>
                          </w:r>
                        </w:p>
                        <w:p w14:paraId="6714617C" w14:textId="77777777" w:rsidR="00565874" w:rsidRPr="00565874" w:rsidRDefault="00565874" w:rsidP="00565874">
                          <w:pPr>
                            <w:spacing w:line="216" w:lineRule="auto"/>
                            <w:contextualSpacing/>
                            <w:jc w:val="center"/>
                            <w:rPr>
                              <w:rFonts w:ascii="Arial" w:hAnsi="Arial" w:cs="Arial"/>
                              <w:b/>
                            </w:rPr>
                          </w:pPr>
                          <w:r w:rsidRPr="00565874">
                            <w:rPr>
                              <w:rFonts w:ascii="Arial" w:hAnsi="Arial" w:cs="Arial"/>
                              <w:b/>
                            </w:rPr>
                            <w:t>Governance</w:t>
                          </w:r>
                        </w:p>
                        <w:p w14:paraId="13ECC032" w14:textId="77777777" w:rsidR="00565874" w:rsidRPr="00565874" w:rsidRDefault="00565874" w:rsidP="00565874">
                          <w:pPr>
                            <w:spacing w:line="216" w:lineRule="auto"/>
                            <w:contextualSpacing/>
                            <w:jc w:val="center"/>
                            <w:rPr>
                              <w:rFonts w:ascii="Arial" w:hAnsi="Arial" w:cs="Arial"/>
                              <w:i/>
                            </w:rPr>
                          </w:pPr>
                          <w:r w:rsidRPr="00565874">
                            <w:rPr>
                              <w:rFonts w:ascii="Arial" w:hAnsi="Arial" w:cs="Arial"/>
                              <w:i/>
                            </w:rPr>
                            <w:t>www.edinburgjournals.org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F87F7F" id="_x0000_t202" coordsize="21600,21600" o:spt="202" path="m,l,21600r21600,l21600,xe">
              <v:stroke joinstyle="miter"/>
              <v:path gradientshapeok="t" o:connecttype="rect"/>
            </v:shapetype>
            <v:shape id="_x0000_s1027" type="#_x0000_t202" style="position:absolute;left:0;text-align:left;margin-left:418.5pt;margin-top:-23.25pt;width:177.75pt;height:58.5pt;z-index:2516587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" stroked="f">
              <v:textbox>
                <w:txbxContent>
                  <w:p w14:paraId="70ACB47C" w14:textId="77777777" w:rsidR="00565874" w:rsidRPr="00565874" w:rsidRDefault="00565874" w:rsidP="00565874">
                    <w:pPr>
                      <w:spacing w:line="216" w:lineRule="auto"/>
                      <w:contextualSpacing/>
                      <w:jc w:val="center"/>
                      <w:rPr>
                        <w:rFonts w:ascii="Arial" w:hAnsi="Arial" w:cs="Arial"/>
                      </w:rPr>
                    </w:pPr>
                    <w:r w:rsidRPr="00565874">
                      <w:rPr>
                        <w:rFonts w:ascii="Arial" w:hAnsi="Arial" w:cs="Arial"/>
                      </w:rPr>
                      <w:t>ISSN: XXX-XXXX</w:t>
                    </w:r>
                  </w:p>
                  <w:p w14:paraId="2C94E4A5" w14:textId="77777777" w:rsidR="00565874" w:rsidRPr="00565874" w:rsidRDefault="00565874" w:rsidP="00565874">
                    <w:pPr>
                      <w:spacing w:line="216" w:lineRule="auto"/>
                      <w:contextualSpacing/>
                      <w:jc w:val="center"/>
                      <w:rPr>
                        <w:rFonts w:ascii="Arial" w:hAnsi="Arial" w:cs="Arial"/>
                        <w:b/>
                      </w:rPr>
                    </w:pPr>
                    <w:r w:rsidRPr="00565874">
                      <w:rPr>
                        <w:rFonts w:ascii="Arial" w:hAnsi="Arial" w:cs="Arial"/>
                        <w:b/>
                      </w:rPr>
                      <w:t>Journal of Public Policy &amp;</w:t>
                    </w:r>
                  </w:p>
                  <w:p w14:paraId="6714617C" w14:textId="77777777" w:rsidR="00565874" w:rsidRPr="00565874" w:rsidRDefault="00565874" w:rsidP="00565874">
                    <w:pPr>
                      <w:spacing w:line="216" w:lineRule="auto"/>
                      <w:contextualSpacing/>
                      <w:jc w:val="center"/>
                      <w:rPr>
                        <w:rFonts w:ascii="Arial" w:hAnsi="Arial" w:cs="Arial"/>
                        <w:b/>
                      </w:rPr>
                    </w:pPr>
                    <w:r w:rsidRPr="00565874">
                      <w:rPr>
                        <w:rFonts w:ascii="Arial" w:hAnsi="Arial" w:cs="Arial"/>
                        <w:b/>
                      </w:rPr>
                      <w:t>Governance</w:t>
                    </w:r>
                  </w:p>
                  <w:p w14:paraId="13ECC032" w14:textId="77777777" w:rsidR="00565874" w:rsidRPr="00565874" w:rsidRDefault="00565874" w:rsidP="00565874">
                    <w:pPr>
                      <w:spacing w:line="216" w:lineRule="auto"/>
                      <w:contextualSpacing/>
                      <w:jc w:val="center"/>
                      <w:rPr>
                        <w:rFonts w:ascii="Arial" w:hAnsi="Arial" w:cs="Arial"/>
                        <w:i/>
                      </w:rPr>
                    </w:pPr>
                    <w:r w:rsidRPr="00565874">
                      <w:rPr>
                        <w:rFonts w:ascii="Arial" w:hAnsi="Arial" w:cs="Arial"/>
                        <w:i/>
                      </w:rPr>
                      <w:t>www.edinburgjournals.org</w:t>
                    </w:r>
                  </w:p>
                </w:txbxContent>
              </v:textbox>
              <w10:wrap type="square" anchorx="page"/>
            </v:shape>
          </w:pict>
        </mc:Fallback>
      </mc:AlternateContent>
    </w:r>
    <w:r w:rsidR="004116FB">
      <w:rPr>
        <w:noProof/>
      </w:rPr>
      <mc:AlternateContent>
        <mc:Choice Requires="wps">
          <w:drawing>
            <wp:anchor distT="45720" distB="45720" distL="114300" distR="114300" simplePos="0" relativeHeight="251657728" behindDoc="0" locked="0" layoutInCell="1" allowOverlap="1" wp14:anchorId="2F50D065" wp14:editId="71E8DE7A">
              <wp:simplePos x="0" y="0"/>
              <wp:positionH relativeFrom="page">
                <wp:align>center</wp:align>
              </wp:positionH>
              <wp:positionV relativeFrom="paragraph">
                <wp:posOffset>-257175</wp:posOffset>
              </wp:positionV>
              <wp:extent cx="2600325" cy="647700"/>
              <wp:effectExtent l="0" t="0" r="952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647700"/>
                      </a:xfrm>
                      <a:prstGeom prst="rect">
                        <a:avLst/>
                      </a:prstGeom>
                      <a:solidFill>
                        <a:srgbClr val="FFFFFF"/>
                      </a:solidFill>
                      <a:ln w="9525">
                        <a:noFill/>
                        <a:miter lim="800000"/>
                        <a:headEnd/>
                        <a:tailEnd/>
                      </a:ln>
                    </wps:spPr>
                    <wps:txbx>
                      <w:txbxContent>
                        <w:p w14:paraId="1F75317A" w14:textId="77777777" w:rsidR="004116FB" w:rsidRPr="00565874" w:rsidRDefault="004116FB" w:rsidP="00565874">
                          <w:pPr>
                            <w:spacing w:line="216" w:lineRule="auto"/>
                            <w:contextualSpacing/>
                            <w:jc w:val="center"/>
                            <w:rPr>
                              <w:i/>
                            </w:rPr>
                          </w:pPr>
                          <w:r w:rsidRPr="00565874">
                            <w:rPr>
                              <w:i/>
                            </w:rPr>
                            <w:t>EdinBurg Journals &amp; Books Publishers</w:t>
                          </w:r>
                        </w:p>
                        <w:p w14:paraId="6DF7D5FB" w14:textId="77777777" w:rsidR="004116FB" w:rsidRDefault="00565874" w:rsidP="00565874">
                          <w:pPr>
                            <w:spacing w:line="216" w:lineRule="auto"/>
                            <w:contextualSpacing/>
                            <w:jc w:val="center"/>
                          </w:pPr>
                          <w:r>
                            <w:t>8019</w:t>
                          </w:r>
                          <w:r w:rsidR="004116FB">
                            <w:t xml:space="preserve"> Maple Lawn</w:t>
                          </w:r>
                          <w:r>
                            <w:t>, MD, USA</w:t>
                          </w:r>
                        </w:p>
                        <w:p w14:paraId="57D8F505" w14:textId="77777777" w:rsidR="004116FB" w:rsidRDefault="004116FB" w:rsidP="00565874">
                          <w:pPr>
                            <w:spacing w:line="216" w:lineRule="auto"/>
                            <w:contextualSpacing/>
                            <w:jc w:val="center"/>
                          </w:pPr>
                          <w:r>
                            <w:t>Copyright ©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0D065" id="_x0000_s1028" type="#_x0000_t202" style="position:absolute;left:0;text-align:left;margin-left:0;margin-top:-20.25pt;width:204.75pt;height:51pt;z-index:25165772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" stroked="f">
              <v:textbox>
                <w:txbxContent>
                  <w:p w14:paraId="1F75317A" w14:textId="77777777" w:rsidR="004116FB" w:rsidRPr="00565874" w:rsidRDefault="004116FB" w:rsidP="00565874">
                    <w:pPr>
                      <w:spacing w:line="216" w:lineRule="auto"/>
                      <w:contextualSpacing/>
                      <w:jc w:val="center"/>
                      <w:rPr>
                        <w:i/>
                      </w:rPr>
                    </w:pPr>
                    <w:r w:rsidRPr="00565874">
                      <w:rPr>
                        <w:i/>
                      </w:rPr>
                      <w:t>EdinBurg Journals &amp; Books Publishers</w:t>
                    </w:r>
                  </w:p>
                  <w:p w14:paraId="6DF7D5FB" w14:textId="77777777" w:rsidR="004116FB" w:rsidRDefault="00565874" w:rsidP="00565874">
                    <w:pPr>
                      <w:spacing w:line="216" w:lineRule="auto"/>
                      <w:contextualSpacing/>
                      <w:jc w:val="center"/>
                    </w:pPr>
                    <w:r>
                      <w:t>8019</w:t>
                    </w:r>
                    <w:r w:rsidR="004116FB">
                      <w:t xml:space="preserve"> Maple Lawn</w:t>
                    </w:r>
                    <w:r>
                      <w:t>, MD, USA</w:t>
                    </w:r>
                  </w:p>
                  <w:p w14:paraId="57D8F505" w14:textId="77777777" w:rsidR="004116FB" w:rsidRDefault="004116FB" w:rsidP="00565874">
                    <w:pPr>
                      <w:spacing w:line="216" w:lineRule="auto"/>
                      <w:contextualSpacing/>
                      <w:jc w:val="center"/>
                    </w:pPr>
                    <w:r>
                      <w:t>Copyright © 2021</w:t>
                    </w:r>
                  </w:p>
                </w:txbxContent>
              </v:textbox>
              <w10:wrap type="square" anchorx="page"/>
            </v:shape>
          </w:pict>
        </mc:Fallback>
      </mc:AlternateContent>
    </w:r>
    <w:r w:rsidR="004116FB">
      <w:rPr>
        <w:noProof/>
      </w:rPr>
      <mc:AlternateContent>
        <mc:Choice Requires="wps">
          <w:drawing>
            <wp:anchor distT="45720" distB="45720" distL="114300" distR="114300" simplePos="0" relativeHeight="251656704" behindDoc="0" locked="0" layoutInCell="1" allowOverlap="1" wp14:anchorId="16F725C9" wp14:editId="0DABD7AC">
              <wp:simplePos x="0" y="0"/>
              <wp:positionH relativeFrom="margin">
                <wp:posOffset>-371475</wp:posOffset>
              </wp:positionH>
              <wp:positionV relativeFrom="paragraph">
                <wp:posOffset>-438150</wp:posOffset>
              </wp:positionV>
              <wp:extent cx="2600325" cy="8096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809625"/>
                      </a:xfrm>
                      <a:prstGeom prst="rect">
                        <a:avLst/>
                      </a:prstGeom>
                      <a:solidFill>
                        <a:srgbClr val="FFFFFF"/>
                      </a:solidFill>
                      <a:ln w="9525">
                        <a:noFill/>
                        <a:miter lim="800000"/>
                        <a:headEnd/>
                        <a:tailEnd/>
                      </a:ln>
                    </wps:spPr>
                    <wps:txbx>
                      <w:txbxContent>
                        <w:p w14:paraId="65846B03" w14:textId="77777777" w:rsidR="004116FB" w:rsidRDefault="004116FB">
                          <w:r>
                            <w:rPr>
                              <w:noProof/>
                            </w:rPr>
                            <w:drawing>
                              <wp:inline distT="0" distB="0" distL="0" distR="0" wp14:anchorId="49AD2E17" wp14:editId="13CE026C">
                                <wp:extent cx="2229802" cy="752475"/>
                                <wp:effectExtent l="0" t="0" r="0" b="0"/>
                                <wp:docPr id="1787916862" name="Picture 1787916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v1.png"/>
                                        <pic:cNvPicPr/>
                                      </pic:nvPicPr>
                                      <pic:blipFill>
                                        <a:blip r:embed="rId1">
                                          <a:extLst>
                                            <a:ext uri="{28A0092B-C50C-407E-A947-70E740481C1C}">
                                              <a14:useLocalDpi xmlns:a14="http://schemas.microsoft.com/office/drawing/2010/main" val="0"/>
                                            </a:ext>
                                          </a:extLst>
                                        </a:blip>
                                        <a:stretch>
                                          <a:fillRect/>
                                        </a:stretch>
                                      </pic:blipFill>
                                      <pic:spPr>
                                        <a:xfrm>
                                          <a:off x="0" y="0"/>
                                          <a:ext cx="2288029" cy="7721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725C9" id="_x0000_s1029" type="#_x0000_t202" style="position:absolute;left:0;text-align:left;margin-left:-29.25pt;margin-top:-34.5pt;width:204.75pt;height:63.7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" stroked="f">
              <v:textbox>
                <w:txbxContent>
                  <w:p w14:paraId="65846B03" w14:textId="77777777" w:rsidR="004116FB" w:rsidRDefault="004116FB">
                    <w:r>
                      <w:rPr>
                        <w:noProof/>
                      </w:rPr>
                      <w:drawing>
                        <wp:inline distT="0" distB="0" distL="0" distR="0" wp14:anchorId="49AD2E17" wp14:editId="13CE026C">
                          <wp:extent cx="2229802" cy="752475"/>
                          <wp:effectExtent l="0" t="0" r="0" b="0"/>
                          <wp:docPr id="1787916862" name="Picture 1787916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v1.png"/>
                                  <pic:cNvPicPr/>
                                </pic:nvPicPr>
                                <pic:blipFill>
                                  <a:blip r:embed="rId1">
                                    <a:extLst>
                                      <a:ext uri="{28A0092B-C50C-407E-A947-70E740481C1C}">
                                        <a14:useLocalDpi xmlns:a14="http://schemas.microsoft.com/office/drawing/2010/main" val="0"/>
                                      </a:ext>
                                    </a:extLst>
                                  </a:blip>
                                  <a:stretch>
                                    <a:fillRect/>
                                  </a:stretch>
                                </pic:blipFill>
                                <pic:spPr>
                                  <a:xfrm>
                                    <a:off x="0" y="0"/>
                                    <a:ext cx="2288029" cy="772125"/>
                                  </a:xfrm>
                                  <a:prstGeom prst="rect">
                                    <a:avLst/>
                                  </a:prstGeom>
                                </pic:spPr>
                              </pic:pic>
                            </a:graphicData>
                          </a:graphic>
                        </wp:inline>
                      </w:drawing>
                    </w:r>
                  </w:p>
                </w:txbxContent>
              </v:textbox>
              <w10:wrap type="square" anchorx="margin"/>
            </v:shape>
          </w:pict>
        </mc:Fallback>
      </mc:AlternateContent>
    </w:r>
  </w:p>
  <w:p w14:paraId="6BCF29B4" w14:textId="77777777" w:rsidR="005937E0" w:rsidRDefault="005937E0"/>
  <w:p w14:paraId="20BFAC2C" w14:textId="77777777" w:rsidR="005937E0" w:rsidRDefault="005937E0"/>
  <w:p w14:paraId="3F5A1102" w14:textId="77777777" w:rsidR="005937E0" w:rsidRDefault="005937E0"/>
  <w:p w14:paraId="6C917F8B" w14:textId="77777777" w:rsidR="005937E0" w:rsidRDefault="005937E0"/>
  <w:p w14:paraId="2D9142A1" w14:textId="77777777" w:rsidR="005937E0" w:rsidRDefault="005937E0"/>
  <w:p w14:paraId="518F7968" w14:textId="77777777" w:rsidR="005937E0" w:rsidRDefault="005937E0"/>
  <w:p w14:paraId="7D095109" w14:textId="77777777" w:rsidR="005937E0" w:rsidRDefault="005937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5059"/>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291BA5"/>
    <w:multiLevelType w:val="hybridMultilevel"/>
    <w:tmpl w:val="95FA2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667AF0"/>
    <w:multiLevelType w:val="hybridMultilevel"/>
    <w:tmpl w:val="323CA5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E1EDA"/>
    <w:multiLevelType w:val="hybridMultilevel"/>
    <w:tmpl w:val="76C01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7167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9122F86"/>
    <w:multiLevelType w:val="multilevel"/>
    <w:tmpl w:val="C9102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5717F7"/>
    <w:multiLevelType w:val="hybridMultilevel"/>
    <w:tmpl w:val="32D6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C5180C"/>
    <w:multiLevelType w:val="hybridMultilevel"/>
    <w:tmpl w:val="63A04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195F29"/>
    <w:multiLevelType w:val="hybridMultilevel"/>
    <w:tmpl w:val="DAD6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5923450">
    <w:abstractNumId w:val="0"/>
  </w:num>
  <w:num w:numId="2" w16cid:durableId="995492473">
    <w:abstractNumId w:val="5"/>
  </w:num>
  <w:num w:numId="3" w16cid:durableId="1447311487">
    <w:abstractNumId w:val="1"/>
  </w:num>
  <w:num w:numId="4" w16cid:durableId="1009329229">
    <w:abstractNumId w:val="6"/>
  </w:num>
  <w:num w:numId="5" w16cid:durableId="1424573122">
    <w:abstractNumId w:val="3"/>
  </w:num>
  <w:num w:numId="6" w16cid:durableId="877817048">
    <w:abstractNumId w:val="7"/>
  </w:num>
  <w:num w:numId="7" w16cid:durableId="1816025077">
    <w:abstractNumId w:val="8"/>
  </w:num>
  <w:num w:numId="8" w16cid:durableId="768937424">
    <w:abstractNumId w:val="2"/>
  </w:num>
  <w:num w:numId="9" w16cid:durableId="146519895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yNDM0NzQDImMjSyUdpeDU4uLM/DyQAlPzWgCOFMYILQAAAA=="/>
  </w:docVars>
  <w:rsids>
    <w:rsidRoot w:val="00DC7E36"/>
    <w:rsid w:val="00000106"/>
    <w:rsid w:val="00000426"/>
    <w:rsid w:val="00000DFA"/>
    <w:rsid w:val="00003D88"/>
    <w:rsid w:val="0000547D"/>
    <w:rsid w:val="0001508D"/>
    <w:rsid w:val="000255A1"/>
    <w:rsid w:val="000276BF"/>
    <w:rsid w:val="00030117"/>
    <w:rsid w:val="00037262"/>
    <w:rsid w:val="00042BE5"/>
    <w:rsid w:val="000502D3"/>
    <w:rsid w:val="0005711F"/>
    <w:rsid w:val="00057B7C"/>
    <w:rsid w:val="0006410F"/>
    <w:rsid w:val="00074F67"/>
    <w:rsid w:val="000768AA"/>
    <w:rsid w:val="0007789B"/>
    <w:rsid w:val="00082848"/>
    <w:rsid w:val="0008330C"/>
    <w:rsid w:val="00084235"/>
    <w:rsid w:val="00085B99"/>
    <w:rsid w:val="00086AE4"/>
    <w:rsid w:val="00090514"/>
    <w:rsid w:val="00093E81"/>
    <w:rsid w:val="00097289"/>
    <w:rsid w:val="000B4297"/>
    <w:rsid w:val="000B49EA"/>
    <w:rsid w:val="000B5171"/>
    <w:rsid w:val="000B6A79"/>
    <w:rsid w:val="000B7FC1"/>
    <w:rsid w:val="000C426A"/>
    <w:rsid w:val="000C5450"/>
    <w:rsid w:val="000C58CD"/>
    <w:rsid w:val="000E17EB"/>
    <w:rsid w:val="000E30EF"/>
    <w:rsid w:val="000E4E07"/>
    <w:rsid w:val="000F009D"/>
    <w:rsid w:val="000F1059"/>
    <w:rsid w:val="000F43FB"/>
    <w:rsid w:val="000F5337"/>
    <w:rsid w:val="000F64DB"/>
    <w:rsid w:val="00105419"/>
    <w:rsid w:val="00113638"/>
    <w:rsid w:val="001151EE"/>
    <w:rsid w:val="00117C9B"/>
    <w:rsid w:val="0012100B"/>
    <w:rsid w:val="00122AF2"/>
    <w:rsid w:val="00123A1F"/>
    <w:rsid w:val="00124191"/>
    <w:rsid w:val="001244D0"/>
    <w:rsid w:val="00125513"/>
    <w:rsid w:val="001266A1"/>
    <w:rsid w:val="0013598C"/>
    <w:rsid w:val="00144042"/>
    <w:rsid w:val="0014714C"/>
    <w:rsid w:val="00153C45"/>
    <w:rsid w:val="00160F23"/>
    <w:rsid w:val="00172DF5"/>
    <w:rsid w:val="00174ED9"/>
    <w:rsid w:val="00193DD6"/>
    <w:rsid w:val="00194E58"/>
    <w:rsid w:val="00197605"/>
    <w:rsid w:val="001A2F92"/>
    <w:rsid w:val="001A3DFF"/>
    <w:rsid w:val="001A7D19"/>
    <w:rsid w:val="001B1BB3"/>
    <w:rsid w:val="001B4D5E"/>
    <w:rsid w:val="001B6661"/>
    <w:rsid w:val="001B75F3"/>
    <w:rsid w:val="001C148D"/>
    <w:rsid w:val="001C1885"/>
    <w:rsid w:val="001C5514"/>
    <w:rsid w:val="001D33C8"/>
    <w:rsid w:val="001D6B10"/>
    <w:rsid w:val="001E0B83"/>
    <w:rsid w:val="001E0DA3"/>
    <w:rsid w:val="001E189F"/>
    <w:rsid w:val="001E1BE5"/>
    <w:rsid w:val="001E22C9"/>
    <w:rsid w:val="001E3326"/>
    <w:rsid w:val="001E346C"/>
    <w:rsid w:val="001E68C9"/>
    <w:rsid w:val="001E6B32"/>
    <w:rsid w:val="001F4AD4"/>
    <w:rsid w:val="0020035F"/>
    <w:rsid w:val="002024D9"/>
    <w:rsid w:val="0020334C"/>
    <w:rsid w:val="00204DF0"/>
    <w:rsid w:val="00205E90"/>
    <w:rsid w:val="002132A3"/>
    <w:rsid w:val="002159C4"/>
    <w:rsid w:val="00216179"/>
    <w:rsid w:val="00216BE2"/>
    <w:rsid w:val="00221D03"/>
    <w:rsid w:val="00222593"/>
    <w:rsid w:val="0023383D"/>
    <w:rsid w:val="00243C4F"/>
    <w:rsid w:val="00244EEB"/>
    <w:rsid w:val="002454B4"/>
    <w:rsid w:val="0026439D"/>
    <w:rsid w:val="00266484"/>
    <w:rsid w:val="00266644"/>
    <w:rsid w:val="00270411"/>
    <w:rsid w:val="0027124A"/>
    <w:rsid w:val="00276328"/>
    <w:rsid w:val="002774AA"/>
    <w:rsid w:val="00277D3D"/>
    <w:rsid w:val="00280AC5"/>
    <w:rsid w:val="00286F25"/>
    <w:rsid w:val="00296934"/>
    <w:rsid w:val="00296B23"/>
    <w:rsid w:val="002A04D3"/>
    <w:rsid w:val="002B07DF"/>
    <w:rsid w:val="002B2339"/>
    <w:rsid w:val="002B3948"/>
    <w:rsid w:val="002B43AF"/>
    <w:rsid w:val="002D0FEE"/>
    <w:rsid w:val="002D216F"/>
    <w:rsid w:val="002E5435"/>
    <w:rsid w:val="002E56EA"/>
    <w:rsid w:val="002F0DA9"/>
    <w:rsid w:val="002F26CC"/>
    <w:rsid w:val="00307A45"/>
    <w:rsid w:val="00311D2D"/>
    <w:rsid w:val="00312AD1"/>
    <w:rsid w:val="00316F75"/>
    <w:rsid w:val="00320E2B"/>
    <w:rsid w:val="003227F7"/>
    <w:rsid w:val="00322F53"/>
    <w:rsid w:val="00323591"/>
    <w:rsid w:val="003255EF"/>
    <w:rsid w:val="003260E6"/>
    <w:rsid w:val="00327206"/>
    <w:rsid w:val="00331F3A"/>
    <w:rsid w:val="0033289C"/>
    <w:rsid w:val="00335499"/>
    <w:rsid w:val="003431C8"/>
    <w:rsid w:val="00343712"/>
    <w:rsid w:val="00343BB5"/>
    <w:rsid w:val="0034508E"/>
    <w:rsid w:val="00351A09"/>
    <w:rsid w:val="0035604B"/>
    <w:rsid w:val="00357E32"/>
    <w:rsid w:val="00360043"/>
    <w:rsid w:val="0036154C"/>
    <w:rsid w:val="00362C1F"/>
    <w:rsid w:val="0037445B"/>
    <w:rsid w:val="0037779F"/>
    <w:rsid w:val="00380A05"/>
    <w:rsid w:val="00381F42"/>
    <w:rsid w:val="0038376A"/>
    <w:rsid w:val="00383AD3"/>
    <w:rsid w:val="00391A90"/>
    <w:rsid w:val="00395FCF"/>
    <w:rsid w:val="00397B06"/>
    <w:rsid w:val="003A5FE5"/>
    <w:rsid w:val="003B44C1"/>
    <w:rsid w:val="003B7FFA"/>
    <w:rsid w:val="003C29CF"/>
    <w:rsid w:val="003C3A8B"/>
    <w:rsid w:val="003C4A3D"/>
    <w:rsid w:val="003C529A"/>
    <w:rsid w:val="003E2B24"/>
    <w:rsid w:val="003E5820"/>
    <w:rsid w:val="003E694A"/>
    <w:rsid w:val="003E7851"/>
    <w:rsid w:val="0040088C"/>
    <w:rsid w:val="00401764"/>
    <w:rsid w:val="00403C5A"/>
    <w:rsid w:val="004116FB"/>
    <w:rsid w:val="00413D11"/>
    <w:rsid w:val="004163FE"/>
    <w:rsid w:val="00416C2A"/>
    <w:rsid w:val="0042256B"/>
    <w:rsid w:val="00424F63"/>
    <w:rsid w:val="00427EE7"/>
    <w:rsid w:val="00436084"/>
    <w:rsid w:val="0045657F"/>
    <w:rsid w:val="0045714D"/>
    <w:rsid w:val="00465C92"/>
    <w:rsid w:val="00467313"/>
    <w:rsid w:val="00471726"/>
    <w:rsid w:val="004870A7"/>
    <w:rsid w:val="004907B7"/>
    <w:rsid w:val="004938D8"/>
    <w:rsid w:val="0049623A"/>
    <w:rsid w:val="00496B7D"/>
    <w:rsid w:val="004A372D"/>
    <w:rsid w:val="004A412A"/>
    <w:rsid w:val="004A5030"/>
    <w:rsid w:val="004A6FA3"/>
    <w:rsid w:val="004A735C"/>
    <w:rsid w:val="004A73AC"/>
    <w:rsid w:val="004B72D4"/>
    <w:rsid w:val="004C05C8"/>
    <w:rsid w:val="004C13DA"/>
    <w:rsid w:val="004C184C"/>
    <w:rsid w:val="004C1993"/>
    <w:rsid w:val="004C28F7"/>
    <w:rsid w:val="004C5D8E"/>
    <w:rsid w:val="004C7802"/>
    <w:rsid w:val="004D157D"/>
    <w:rsid w:val="004D2494"/>
    <w:rsid w:val="004D6221"/>
    <w:rsid w:val="004D7164"/>
    <w:rsid w:val="004D7BF0"/>
    <w:rsid w:val="004E268A"/>
    <w:rsid w:val="004E40B0"/>
    <w:rsid w:val="004F06D4"/>
    <w:rsid w:val="004F3E45"/>
    <w:rsid w:val="004F4914"/>
    <w:rsid w:val="00502DE0"/>
    <w:rsid w:val="005217DB"/>
    <w:rsid w:val="0052203C"/>
    <w:rsid w:val="005232B0"/>
    <w:rsid w:val="0052510E"/>
    <w:rsid w:val="00525972"/>
    <w:rsid w:val="00526450"/>
    <w:rsid w:val="00527068"/>
    <w:rsid w:val="00533A72"/>
    <w:rsid w:val="00535692"/>
    <w:rsid w:val="005410C2"/>
    <w:rsid w:val="00541208"/>
    <w:rsid w:val="00550BBA"/>
    <w:rsid w:val="00551F17"/>
    <w:rsid w:val="0056202F"/>
    <w:rsid w:val="00563B84"/>
    <w:rsid w:val="00565874"/>
    <w:rsid w:val="005665E1"/>
    <w:rsid w:val="00567B14"/>
    <w:rsid w:val="0057234B"/>
    <w:rsid w:val="00575CFE"/>
    <w:rsid w:val="00577E41"/>
    <w:rsid w:val="0058126D"/>
    <w:rsid w:val="00581976"/>
    <w:rsid w:val="00581EA7"/>
    <w:rsid w:val="00582E1F"/>
    <w:rsid w:val="0058333B"/>
    <w:rsid w:val="005937E0"/>
    <w:rsid w:val="005A33D0"/>
    <w:rsid w:val="005A3D3E"/>
    <w:rsid w:val="005B3B8F"/>
    <w:rsid w:val="005B3FAF"/>
    <w:rsid w:val="005B4330"/>
    <w:rsid w:val="005B497F"/>
    <w:rsid w:val="005B7929"/>
    <w:rsid w:val="005C16DE"/>
    <w:rsid w:val="005C3B8C"/>
    <w:rsid w:val="005C4206"/>
    <w:rsid w:val="005C6A1A"/>
    <w:rsid w:val="005D4414"/>
    <w:rsid w:val="005D46D2"/>
    <w:rsid w:val="005E238B"/>
    <w:rsid w:val="005E3705"/>
    <w:rsid w:val="005E3A90"/>
    <w:rsid w:val="005E4C27"/>
    <w:rsid w:val="005E625B"/>
    <w:rsid w:val="005F24C4"/>
    <w:rsid w:val="005F54B2"/>
    <w:rsid w:val="006044DE"/>
    <w:rsid w:val="00611078"/>
    <w:rsid w:val="00616C15"/>
    <w:rsid w:val="00617213"/>
    <w:rsid w:val="00620B66"/>
    <w:rsid w:val="00623A90"/>
    <w:rsid w:val="00623AA6"/>
    <w:rsid w:val="00627C31"/>
    <w:rsid w:val="00627EBB"/>
    <w:rsid w:val="0064048F"/>
    <w:rsid w:val="00641462"/>
    <w:rsid w:val="006444C6"/>
    <w:rsid w:val="006450CB"/>
    <w:rsid w:val="00650FEE"/>
    <w:rsid w:val="006510F2"/>
    <w:rsid w:val="00653653"/>
    <w:rsid w:val="00656B82"/>
    <w:rsid w:val="00657096"/>
    <w:rsid w:val="00660B73"/>
    <w:rsid w:val="00661113"/>
    <w:rsid w:val="0066361E"/>
    <w:rsid w:val="00670AD5"/>
    <w:rsid w:val="00671576"/>
    <w:rsid w:val="0068452B"/>
    <w:rsid w:val="00687A3B"/>
    <w:rsid w:val="006939D6"/>
    <w:rsid w:val="00695B62"/>
    <w:rsid w:val="006966B1"/>
    <w:rsid w:val="006A0CC2"/>
    <w:rsid w:val="006A4D2D"/>
    <w:rsid w:val="006A530C"/>
    <w:rsid w:val="006B6B99"/>
    <w:rsid w:val="006B7D09"/>
    <w:rsid w:val="006C0EDF"/>
    <w:rsid w:val="006C39CC"/>
    <w:rsid w:val="006C48D3"/>
    <w:rsid w:val="006C6086"/>
    <w:rsid w:val="006D0EF8"/>
    <w:rsid w:val="006D1079"/>
    <w:rsid w:val="006D2F5A"/>
    <w:rsid w:val="006D5DEF"/>
    <w:rsid w:val="006E1490"/>
    <w:rsid w:val="006F214C"/>
    <w:rsid w:val="006F219E"/>
    <w:rsid w:val="0070297A"/>
    <w:rsid w:val="00703C3D"/>
    <w:rsid w:val="00705502"/>
    <w:rsid w:val="00705A26"/>
    <w:rsid w:val="007129DD"/>
    <w:rsid w:val="00713AE2"/>
    <w:rsid w:val="00720B42"/>
    <w:rsid w:val="00723B33"/>
    <w:rsid w:val="00724FFD"/>
    <w:rsid w:val="00725E5C"/>
    <w:rsid w:val="00731029"/>
    <w:rsid w:val="0073695A"/>
    <w:rsid w:val="00746803"/>
    <w:rsid w:val="00750DAE"/>
    <w:rsid w:val="00751424"/>
    <w:rsid w:val="0075275A"/>
    <w:rsid w:val="0077117F"/>
    <w:rsid w:val="00772E71"/>
    <w:rsid w:val="00774CDD"/>
    <w:rsid w:val="00774D00"/>
    <w:rsid w:val="00776E92"/>
    <w:rsid w:val="007771ED"/>
    <w:rsid w:val="00782119"/>
    <w:rsid w:val="007A2B6A"/>
    <w:rsid w:val="007A30D2"/>
    <w:rsid w:val="007A3449"/>
    <w:rsid w:val="007B3857"/>
    <w:rsid w:val="007B4476"/>
    <w:rsid w:val="007B4BAE"/>
    <w:rsid w:val="007C3F85"/>
    <w:rsid w:val="007C400E"/>
    <w:rsid w:val="007C6E20"/>
    <w:rsid w:val="007D2ADA"/>
    <w:rsid w:val="007D4133"/>
    <w:rsid w:val="007D5B28"/>
    <w:rsid w:val="007E0E5C"/>
    <w:rsid w:val="007E646E"/>
    <w:rsid w:val="007F200E"/>
    <w:rsid w:val="007F359F"/>
    <w:rsid w:val="007F3FC2"/>
    <w:rsid w:val="007F6B10"/>
    <w:rsid w:val="007F7282"/>
    <w:rsid w:val="00803B79"/>
    <w:rsid w:val="00805719"/>
    <w:rsid w:val="00807DEF"/>
    <w:rsid w:val="00812291"/>
    <w:rsid w:val="00812D63"/>
    <w:rsid w:val="008147A5"/>
    <w:rsid w:val="008169BE"/>
    <w:rsid w:val="0082199C"/>
    <w:rsid w:val="00822066"/>
    <w:rsid w:val="00823B8A"/>
    <w:rsid w:val="00823C80"/>
    <w:rsid w:val="008254EF"/>
    <w:rsid w:val="00851616"/>
    <w:rsid w:val="00853B4F"/>
    <w:rsid w:val="00855665"/>
    <w:rsid w:val="008639C2"/>
    <w:rsid w:val="00866196"/>
    <w:rsid w:val="00867E71"/>
    <w:rsid w:val="00871491"/>
    <w:rsid w:val="008722AA"/>
    <w:rsid w:val="00874482"/>
    <w:rsid w:val="00883850"/>
    <w:rsid w:val="008865F4"/>
    <w:rsid w:val="008930C2"/>
    <w:rsid w:val="00894AF6"/>
    <w:rsid w:val="008955B0"/>
    <w:rsid w:val="00896C52"/>
    <w:rsid w:val="008A38AF"/>
    <w:rsid w:val="008A3966"/>
    <w:rsid w:val="008A4B85"/>
    <w:rsid w:val="008C67FF"/>
    <w:rsid w:val="008C76FF"/>
    <w:rsid w:val="008D4B61"/>
    <w:rsid w:val="008D7597"/>
    <w:rsid w:val="008E09AD"/>
    <w:rsid w:val="008E2FF6"/>
    <w:rsid w:val="008E5A7E"/>
    <w:rsid w:val="008F0FF1"/>
    <w:rsid w:val="008F4DF8"/>
    <w:rsid w:val="008F5CF4"/>
    <w:rsid w:val="0090239B"/>
    <w:rsid w:val="0090337A"/>
    <w:rsid w:val="009154F4"/>
    <w:rsid w:val="00917669"/>
    <w:rsid w:val="009233B4"/>
    <w:rsid w:val="009338B4"/>
    <w:rsid w:val="00935340"/>
    <w:rsid w:val="0093655B"/>
    <w:rsid w:val="009366AD"/>
    <w:rsid w:val="009376C4"/>
    <w:rsid w:val="00940928"/>
    <w:rsid w:val="00943F8F"/>
    <w:rsid w:val="00946354"/>
    <w:rsid w:val="00947566"/>
    <w:rsid w:val="00952067"/>
    <w:rsid w:val="00953D59"/>
    <w:rsid w:val="009547C6"/>
    <w:rsid w:val="0095525E"/>
    <w:rsid w:val="00956203"/>
    <w:rsid w:val="0095702B"/>
    <w:rsid w:val="009600CE"/>
    <w:rsid w:val="00960B9F"/>
    <w:rsid w:val="00965E29"/>
    <w:rsid w:val="00966A28"/>
    <w:rsid w:val="00970E96"/>
    <w:rsid w:val="009717EA"/>
    <w:rsid w:val="00973DFC"/>
    <w:rsid w:val="009744B6"/>
    <w:rsid w:val="0097534A"/>
    <w:rsid w:val="00975509"/>
    <w:rsid w:val="00983451"/>
    <w:rsid w:val="0098538A"/>
    <w:rsid w:val="0099604E"/>
    <w:rsid w:val="00997C22"/>
    <w:rsid w:val="009A44B4"/>
    <w:rsid w:val="009A5905"/>
    <w:rsid w:val="009B114A"/>
    <w:rsid w:val="009B1D64"/>
    <w:rsid w:val="009B1D7A"/>
    <w:rsid w:val="009C2E82"/>
    <w:rsid w:val="009C4051"/>
    <w:rsid w:val="009D2878"/>
    <w:rsid w:val="009D5590"/>
    <w:rsid w:val="009D6A6B"/>
    <w:rsid w:val="009E1649"/>
    <w:rsid w:val="009F1006"/>
    <w:rsid w:val="009F22E4"/>
    <w:rsid w:val="009F569B"/>
    <w:rsid w:val="00A020F9"/>
    <w:rsid w:val="00A0631F"/>
    <w:rsid w:val="00A11C64"/>
    <w:rsid w:val="00A1552B"/>
    <w:rsid w:val="00A22D7D"/>
    <w:rsid w:val="00A22F92"/>
    <w:rsid w:val="00A276DB"/>
    <w:rsid w:val="00A327EF"/>
    <w:rsid w:val="00A35920"/>
    <w:rsid w:val="00A377A4"/>
    <w:rsid w:val="00A37D3B"/>
    <w:rsid w:val="00A408CF"/>
    <w:rsid w:val="00A50CAD"/>
    <w:rsid w:val="00A5257A"/>
    <w:rsid w:val="00A526A7"/>
    <w:rsid w:val="00A57BA8"/>
    <w:rsid w:val="00A64FD3"/>
    <w:rsid w:val="00A6506A"/>
    <w:rsid w:val="00A673CA"/>
    <w:rsid w:val="00A74F19"/>
    <w:rsid w:val="00A76044"/>
    <w:rsid w:val="00A93093"/>
    <w:rsid w:val="00A94D80"/>
    <w:rsid w:val="00A951AD"/>
    <w:rsid w:val="00AA64EE"/>
    <w:rsid w:val="00AC6B59"/>
    <w:rsid w:val="00AD0FD9"/>
    <w:rsid w:val="00AD4F74"/>
    <w:rsid w:val="00AD66EE"/>
    <w:rsid w:val="00AD70A5"/>
    <w:rsid w:val="00AE28B0"/>
    <w:rsid w:val="00AE45F1"/>
    <w:rsid w:val="00AF2B05"/>
    <w:rsid w:val="00B00221"/>
    <w:rsid w:val="00B01606"/>
    <w:rsid w:val="00B01D8B"/>
    <w:rsid w:val="00B064FD"/>
    <w:rsid w:val="00B06A3B"/>
    <w:rsid w:val="00B210E2"/>
    <w:rsid w:val="00B239C8"/>
    <w:rsid w:val="00B40E16"/>
    <w:rsid w:val="00B47629"/>
    <w:rsid w:val="00B64ECC"/>
    <w:rsid w:val="00B65B88"/>
    <w:rsid w:val="00B66035"/>
    <w:rsid w:val="00B67503"/>
    <w:rsid w:val="00B677C9"/>
    <w:rsid w:val="00B71FFF"/>
    <w:rsid w:val="00B729CA"/>
    <w:rsid w:val="00B75956"/>
    <w:rsid w:val="00B759E6"/>
    <w:rsid w:val="00B77D9C"/>
    <w:rsid w:val="00B80518"/>
    <w:rsid w:val="00B8374F"/>
    <w:rsid w:val="00B8454F"/>
    <w:rsid w:val="00B87346"/>
    <w:rsid w:val="00B876EF"/>
    <w:rsid w:val="00B90EA0"/>
    <w:rsid w:val="00B969F6"/>
    <w:rsid w:val="00B97D34"/>
    <w:rsid w:val="00BB35CA"/>
    <w:rsid w:val="00BB39D5"/>
    <w:rsid w:val="00BB3D9E"/>
    <w:rsid w:val="00BC3830"/>
    <w:rsid w:val="00BC69B1"/>
    <w:rsid w:val="00BC6A07"/>
    <w:rsid w:val="00BC701A"/>
    <w:rsid w:val="00BD1942"/>
    <w:rsid w:val="00BD7C35"/>
    <w:rsid w:val="00BE04F8"/>
    <w:rsid w:val="00BF2DA9"/>
    <w:rsid w:val="00BF3755"/>
    <w:rsid w:val="00BF4B4F"/>
    <w:rsid w:val="00BF6EE6"/>
    <w:rsid w:val="00C01E03"/>
    <w:rsid w:val="00C16DAD"/>
    <w:rsid w:val="00C20DDC"/>
    <w:rsid w:val="00C2152B"/>
    <w:rsid w:val="00C27E3A"/>
    <w:rsid w:val="00C31ECA"/>
    <w:rsid w:val="00C32974"/>
    <w:rsid w:val="00C366AF"/>
    <w:rsid w:val="00C41287"/>
    <w:rsid w:val="00C454A1"/>
    <w:rsid w:val="00C50F77"/>
    <w:rsid w:val="00C51D3C"/>
    <w:rsid w:val="00C5224E"/>
    <w:rsid w:val="00C55614"/>
    <w:rsid w:val="00C6430D"/>
    <w:rsid w:val="00C71C70"/>
    <w:rsid w:val="00C7290E"/>
    <w:rsid w:val="00C736AD"/>
    <w:rsid w:val="00C8047B"/>
    <w:rsid w:val="00C80ADC"/>
    <w:rsid w:val="00C8211F"/>
    <w:rsid w:val="00C845DB"/>
    <w:rsid w:val="00C938C3"/>
    <w:rsid w:val="00C947DD"/>
    <w:rsid w:val="00C969BF"/>
    <w:rsid w:val="00C97796"/>
    <w:rsid w:val="00C97EFB"/>
    <w:rsid w:val="00CA6786"/>
    <w:rsid w:val="00CB1D31"/>
    <w:rsid w:val="00CB32B3"/>
    <w:rsid w:val="00CB6463"/>
    <w:rsid w:val="00CB6C0C"/>
    <w:rsid w:val="00CB7131"/>
    <w:rsid w:val="00CC1785"/>
    <w:rsid w:val="00CC6A59"/>
    <w:rsid w:val="00CE21B2"/>
    <w:rsid w:val="00CE23CA"/>
    <w:rsid w:val="00CE364F"/>
    <w:rsid w:val="00CF4A4B"/>
    <w:rsid w:val="00CF5AEB"/>
    <w:rsid w:val="00CF5D61"/>
    <w:rsid w:val="00CF7FE2"/>
    <w:rsid w:val="00D0151A"/>
    <w:rsid w:val="00D0775F"/>
    <w:rsid w:val="00D21518"/>
    <w:rsid w:val="00D25721"/>
    <w:rsid w:val="00D32EC6"/>
    <w:rsid w:val="00D33418"/>
    <w:rsid w:val="00D354CD"/>
    <w:rsid w:val="00D40281"/>
    <w:rsid w:val="00D4112F"/>
    <w:rsid w:val="00D4268A"/>
    <w:rsid w:val="00D4648C"/>
    <w:rsid w:val="00D51975"/>
    <w:rsid w:val="00D51E10"/>
    <w:rsid w:val="00D60F98"/>
    <w:rsid w:val="00D63417"/>
    <w:rsid w:val="00D64B41"/>
    <w:rsid w:val="00D73541"/>
    <w:rsid w:val="00D77FC7"/>
    <w:rsid w:val="00D83E16"/>
    <w:rsid w:val="00D9194F"/>
    <w:rsid w:val="00D92594"/>
    <w:rsid w:val="00DA45FF"/>
    <w:rsid w:val="00DA5991"/>
    <w:rsid w:val="00DA678B"/>
    <w:rsid w:val="00DC5794"/>
    <w:rsid w:val="00DC7E36"/>
    <w:rsid w:val="00DD100D"/>
    <w:rsid w:val="00DD2FD7"/>
    <w:rsid w:val="00DD7CC2"/>
    <w:rsid w:val="00DE51B0"/>
    <w:rsid w:val="00DF1478"/>
    <w:rsid w:val="00DF6897"/>
    <w:rsid w:val="00E00C42"/>
    <w:rsid w:val="00E03350"/>
    <w:rsid w:val="00E12E21"/>
    <w:rsid w:val="00E151B4"/>
    <w:rsid w:val="00E31295"/>
    <w:rsid w:val="00E340FD"/>
    <w:rsid w:val="00E341BE"/>
    <w:rsid w:val="00E34438"/>
    <w:rsid w:val="00E4232D"/>
    <w:rsid w:val="00E5191A"/>
    <w:rsid w:val="00E52AD5"/>
    <w:rsid w:val="00E538CF"/>
    <w:rsid w:val="00E554BC"/>
    <w:rsid w:val="00E565A7"/>
    <w:rsid w:val="00E576FA"/>
    <w:rsid w:val="00E62BAE"/>
    <w:rsid w:val="00E6368B"/>
    <w:rsid w:val="00E6416A"/>
    <w:rsid w:val="00E6443C"/>
    <w:rsid w:val="00E677E0"/>
    <w:rsid w:val="00E71CD0"/>
    <w:rsid w:val="00E72E2E"/>
    <w:rsid w:val="00E74C15"/>
    <w:rsid w:val="00E76055"/>
    <w:rsid w:val="00E771AA"/>
    <w:rsid w:val="00E84DBB"/>
    <w:rsid w:val="00E86DE7"/>
    <w:rsid w:val="00E87F47"/>
    <w:rsid w:val="00E9213B"/>
    <w:rsid w:val="00E945FD"/>
    <w:rsid w:val="00E95CD8"/>
    <w:rsid w:val="00E9651E"/>
    <w:rsid w:val="00EA56A4"/>
    <w:rsid w:val="00EB2CDD"/>
    <w:rsid w:val="00EB3AE3"/>
    <w:rsid w:val="00EB682F"/>
    <w:rsid w:val="00EB6946"/>
    <w:rsid w:val="00EC2A0B"/>
    <w:rsid w:val="00EC4884"/>
    <w:rsid w:val="00EC54DE"/>
    <w:rsid w:val="00EC56B2"/>
    <w:rsid w:val="00ED4E55"/>
    <w:rsid w:val="00ED5DAA"/>
    <w:rsid w:val="00EE265A"/>
    <w:rsid w:val="00EE5AED"/>
    <w:rsid w:val="00EF2BF8"/>
    <w:rsid w:val="00EF3B12"/>
    <w:rsid w:val="00EF73A2"/>
    <w:rsid w:val="00F02E43"/>
    <w:rsid w:val="00F12A1F"/>
    <w:rsid w:val="00F17922"/>
    <w:rsid w:val="00F2108A"/>
    <w:rsid w:val="00F34D7B"/>
    <w:rsid w:val="00F35754"/>
    <w:rsid w:val="00F372DC"/>
    <w:rsid w:val="00F420A5"/>
    <w:rsid w:val="00F43608"/>
    <w:rsid w:val="00F467E2"/>
    <w:rsid w:val="00F503FE"/>
    <w:rsid w:val="00F60F9F"/>
    <w:rsid w:val="00F645DE"/>
    <w:rsid w:val="00F6651A"/>
    <w:rsid w:val="00F67240"/>
    <w:rsid w:val="00F82E82"/>
    <w:rsid w:val="00F9086E"/>
    <w:rsid w:val="00F95E58"/>
    <w:rsid w:val="00F97619"/>
    <w:rsid w:val="00F97656"/>
    <w:rsid w:val="00FA0C79"/>
    <w:rsid w:val="00FA1A6F"/>
    <w:rsid w:val="00FA5A13"/>
    <w:rsid w:val="00FB2196"/>
    <w:rsid w:val="00FB51B5"/>
    <w:rsid w:val="00FB5956"/>
    <w:rsid w:val="00FB63C3"/>
    <w:rsid w:val="00FB7888"/>
    <w:rsid w:val="00FC01CA"/>
    <w:rsid w:val="00FC1E2F"/>
    <w:rsid w:val="00FC2349"/>
    <w:rsid w:val="00FC28CB"/>
    <w:rsid w:val="00FC2EFC"/>
    <w:rsid w:val="00FC363D"/>
    <w:rsid w:val="00FC6661"/>
    <w:rsid w:val="00FD626B"/>
    <w:rsid w:val="00FE16AD"/>
    <w:rsid w:val="00FE390A"/>
    <w:rsid w:val="00FE52DE"/>
    <w:rsid w:val="00FE6905"/>
    <w:rsid w:val="00FF3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46DCD"/>
  <w15:docId w15:val="{E9171746-711B-48FE-979C-3BEDD54E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3FE"/>
    <w:pPr>
      <w:spacing w:before="100" w:after="10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AF2B05"/>
    <w:pPr>
      <w:keepNext/>
      <w:keepLines/>
      <w:suppressAutoHyphens/>
      <w:jc w:val="left"/>
      <w:outlineLvl w:val="0"/>
    </w:pPr>
    <w:rPr>
      <w:rFonts w:eastAsiaTheme="majorEastAsia" w:cstheme="majorBidi"/>
      <w:b/>
      <w:bCs/>
      <w:szCs w:val="28"/>
      <w:lang w:eastAsia="ar-SA"/>
    </w:rPr>
  </w:style>
  <w:style w:type="paragraph" w:styleId="Heading2">
    <w:name w:val="heading 2"/>
    <w:basedOn w:val="Normal"/>
    <w:next w:val="Normal"/>
    <w:link w:val="Heading2Char"/>
    <w:uiPriority w:val="9"/>
    <w:qFormat/>
    <w:rsid w:val="006044DE"/>
    <w:pPr>
      <w:keepNext/>
      <w:keepLines/>
      <w:tabs>
        <w:tab w:val="num" w:pos="360"/>
      </w:tabs>
      <w:suppressAutoHyphens/>
      <w:outlineLvl w:val="1"/>
    </w:pPr>
    <w:rPr>
      <w:rFonts w:eastAsia="Calibri" w:cs="Times New Roman"/>
      <w:b/>
      <w:szCs w:val="24"/>
      <w:lang w:eastAsia="ar-SA"/>
    </w:rPr>
  </w:style>
  <w:style w:type="paragraph" w:styleId="Heading3">
    <w:name w:val="heading 3"/>
    <w:basedOn w:val="Normal"/>
    <w:next w:val="Normal"/>
    <w:link w:val="Heading3Char"/>
    <w:uiPriority w:val="9"/>
    <w:unhideWhenUsed/>
    <w:qFormat/>
    <w:rsid w:val="00883850"/>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aliases w:val="tables"/>
    <w:basedOn w:val="Normal"/>
    <w:next w:val="Normal"/>
    <w:link w:val="Heading4Char"/>
    <w:uiPriority w:val="9"/>
    <w:unhideWhenUsed/>
    <w:qFormat/>
    <w:rsid w:val="00465C92"/>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144042"/>
    <w:pPr>
      <w:keepNext/>
      <w:keepLines/>
      <w:suppressAutoHyphens/>
      <w:spacing w:before="200"/>
      <w:outlineLvl w:val="4"/>
    </w:pPr>
    <w:rPr>
      <w:rFonts w:asciiTheme="majorHAnsi" w:eastAsiaTheme="majorEastAsia" w:hAnsiTheme="majorHAnsi" w:cstheme="majorBidi"/>
      <w:color w:val="1F4D78" w:themeColor="accent1" w:themeShade="7F"/>
      <w:lang w:eastAsia="ar-SA"/>
    </w:rPr>
  </w:style>
  <w:style w:type="paragraph" w:styleId="Heading6">
    <w:name w:val="heading 6"/>
    <w:basedOn w:val="Normal"/>
    <w:next w:val="Normal"/>
    <w:link w:val="Heading6Char"/>
    <w:uiPriority w:val="9"/>
    <w:unhideWhenUsed/>
    <w:qFormat/>
    <w:rsid w:val="00144042"/>
    <w:pPr>
      <w:keepNext/>
      <w:keepLines/>
      <w:spacing w:before="200" w:after="40"/>
      <w:jc w:val="left"/>
      <w:outlineLvl w:val="5"/>
    </w:pPr>
    <w:rPr>
      <w:rFonts w:ascii="Cambria" w:eastAsia="Cambria" w:hAnsi="Cambria" w:cs="Cambria"/>
      <w:b/>
      <w:sz w:val="20"/>
      <w:szCs w:val="20"/>
    </w:rPr>
  </w:style>
  <w:style w:type="paragraph" w:styleId="Heading7">
    <w:name w:val="heading 7"/>
    <w:basedOn w:val="Normal"/>
    <w:next w:val="Normal"/>
    <w:link w:val="Heading7Char"/>
    <w:uiPriority w:val="9"/>
    <w:semiHidden/>
    <w:unhideWhenUsed/>
    <w:qFormat/>
    <w:rsid w:val="00E4232D"/>
    <w:pPr>
      <w:keepNext/>
      <w:keepLines/>
      <w:spacing w:before="40" w:after="0" w:line="360" w:lineRule="auto"/>
      <w:ind w:left="1176" w:hanging="1296"/>
      <w:outlineLvl w:val="6"/>
    </w:pPr>
    <w:rPr>
      <w:rFonts w:ascii="Calibri Light" w:eastAsia="Times New Roman" w:hAnsi="Calibri Light" w:cs="Times New Roman"/>
      <w:i/>
      <w:iCs/>
      <w:color w:val="1F4E79"/>
    </w:rPr>
  </w:style>
  <w:style w:type="paragraph" w:styleId="Heading8">
    <w:name w:val="heading 8"/>
    <w:basedOn w:val="Normal"/>
    <w:next w:val="Normal"/>
    <w:link w:val="Heading8Char"/>
    <w:uiPriority w:val="9"/>
    <w:semiHidden/>
    <w:unhideWhenUsed/>
    <w:qFormat/>
    <w:rsid w:val="00E4232D"/>
    <w:pPr>
      <w:keepNext/>
      <w:keepLines/>
      <w:spacing w:before="40" w:after="0" w:line="360" w:lineRule="auto"/>
      <w:ind w:left="1320" w:hanging="1440"/>
      <w:outlineLvl w:val="7"/>
    </w:pPr>
    <w:rPr>
      <w:rFonts w:ascii="Calibri Light" w:eastAsia="Times New Roman" w:hAnsi="Calibri Light" w:cs="Times New Roman"/>
      <w:color w:val="262626"/>
      <w:sz w:val="21"/>
      <w:szCs w:val="21"/>
    </w:rPr>
  </w:style>
  <w:style w:type="paragraph" w:styleId="Heading9">
    <w:name w:val="heading 9"/>
    <w:basedOn w:val="Normal"/>
    <w:next w:val="Normal"/>
    <w:link w:val="Heading9Char"/>
    <w:uiPriority w:val="9"/>
    <w:semiHidden/>
    <w:unhideWhenUsed/>
    <w:qFormat/>
    <w:rsid w:val="00E4232D"/>
    <w:pPr>
      <w:keepNext/>
      <w:keepLines/>
      <w:spacing w:before="40" w:after="0" w:line="360" w:lineRule="auto"/>
      <w:ind w:left="1464" w:hanging="1584"/>
      <w:outlineLvl w:val="8"/>
    </w:pPr>
    <w:rPr>
      <w:rFonts w:ascii="Calibri Light" w:eastAsia="Times New Roman" w:hAnsi="Calibri Light" w:cs="Times New Roman"/>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870A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0A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qFormat/>
    <w:rsid w:val="004870A7"/>
    <w:pPr>
      <w:tabs>
        <w:tab w:val="center" w:pos="4680"/>
        <w:tab w:val="right" w:pos="9360"/>
      </w:tabs>
      <w:spacing w:after="0"/>
    </w:pPr>
  </w:style>
  <w:style w:type="character" w:customStyle="1" w:styleId="HeaderChar">
    <w:name w:val="Header Char"/>
    <w:basedOn w:val="DefaultParagraphFont"/>
    <w:link w:val="Header"/>
    <w:uiPriority w:val="99"/>
    <w:qFormat/>
    <w:rsid w:val="004870A7"/>
  </w:style>
  <w:style w:type="paragraph" w:styleId="Footer">
    <w:name w:val="footer"/>
    <w:basedOn w:val="Normal"/>
    <w:link w:val="FooterChar"/>
    <w:uiPriority w:val="99"/>
    <w:unhideWhenUsed/>
    <w:qFormat/>
    <w:rsid w:val="004870A7"/>
    <w:pPr>
      <w:tabs>
        <w:tab w:val="center" w:pos="4680"/>
        <w:tab w:val="right" w:pos="9360"/>
      </w:tabs>
      <w:spacing w:after="0"/>
    </w:pPr>
  </w:style>
  <w:style w:type="character" w:customStyle="1" w:styleId="FooterChar">
    <w:name w:val="Footer Char"/>
    <w:basedOn w:val="DefaultParagraphFont"/>
    <w:link w:val="Footer"/>
    <w:uiPriority w:val="99"/>
    <w:qFormat/>
    <w:rsid w:val="004870A7"/>
  </w:style>
  <w:style w:type="character" w:styleId="Hyperlink">
    <w:name w:val="Hyperlink"/>
    <w:basedOn w:val="DefaultParagraphFont"/>
    <w:uiPriority w:val="99"/>
    <w:unhideWhenUsed/>
    <w:qFormat/>
    <w:rsid w:val="0052203C"/>
    <w:rPr>
      <w:color w:val="0563C1" w:themeColor="hyperlink"/>
      <w:u w:val="single"/>
    </w:rPr>
  </w:style>
  <w:style w:type="paragraph" w:styleId="BalloonText">
    <w:name w:val="Balloon Text"/>
    <w:basedOn w:val="Normal"/>
    <w:link w:val="BalloonTextChar"/>
    <w:uiPriority w:val="99"/>
    <w:unhideWhenUsed/>
    <w:qFormat/>
    <w:rsid w:val="00650FEE"/>
    <w:pPr>
      <w:spacing w:after="0"/>
    </w:pPr>
    <w:rPr>
      <w:rFonts w:ascii="Tahoma" w:hAnsi="Tahoma" w:cs="Tahoma"/>
      <w:sz w:val="16"/>
      <w:szCs w:val="16"/>
    </w:rPr>
  </w:style>
  <w:style w:type="character" w:customStyle="1" w:styleId="BalloonTextChar">
    <w:name w:val="Balloon Text Char"/>
    <w:basedOn w:val="DefaultParagraphFont"/>
    <w:link w:val="BalloonText"/>
    <w:uiPriority w:val="99"/>
    <w:qFormat/>
    <w:rsid w:val="00650FEE"/>
    <w:rPr>
      <w:rFonts w:ascii="Tahoma" w:hAnsi="Tahoma" w:cs="Tahoma"/>
      <w:sz w:val="16"/>
      <w:szCs w:val="16"/>
    </w:rPr>
  </w:style>
  <w:style w:type="character" w:customStyle="1" w:styleId="Heading1Char">
    <w:name w:val="Heading 1 Char"/>
    <w:basedOn w:val="DefaultParagraphFont"/>
    <w:link w:val="Heading1"/>
    <w:uiPriority w:val="9"/>
    <w:qFormat/>
    <w:rsid w:val="00AF2B05"/>
    <w:rPr>
      <w:rFonts w:ascii="Times New Roman" w:eastAsiaTheme="majorEastAsia" w:hAnsi="Times New Roman" w:cstheme="majorBidi"/>
      <w:b/>
      <w:bCs/>
      <w:sz w:val="24"/>
      <w:szCs w:val="28"/>
      <w:lang w:eastAsia="ar-SA"/>
    </w:rPr>
  </w:style>
  <w:style w:type="character" w:customStyle="1" w:styleId="Heading2Char">
    <w:name w:val="Heading 2 Char"/>
    <w:basedOn w:val="DefaultParagraphFont"/>
    <w:link w:val="Heading2"/>
    <w:uiPriority w:val="9"/>
    <w:qFormat/>
    <w:rsid w:val="006044DE"/>
    <w:rPr>
      <w:rFonts w:ascii="Times New Roman" w:eastAsia="Calibri" w:hAnsi="Times New Roman" w:cs="Times New Roman"/>
      <w:b/>
      <w:sz w:val="24"/>
      <w:szCs w:val="24"/>
      <w:lang w:eastAsia="ar-SA"/>
    </w:rPr>
  </w:style>
  <w:style w:type="character" w:customStyle="1" w:styleId="NoSpacingChar">
    <w:name w:val="No Spacing Char"/>
    <w:link w:val="NoSpacing"/>
    <w:qFormat/>
    <w:locked/>
    <w:rsid w:val="001E1BE5"/>
    <w:rPr>
      <w:rFonts w:ascii="Calibri" w:eastAsia="Calibri" w:hAnsi="Calibri" w:cs="Times New Roman"/>
    </w:rPr>
  </w:style>
  <w:style w:type="paragraph" w:styleId="NoSpacing">
    <w:name w:val="No Spacing"/>
    <w:link w:val="NoSpacingChar"/>
    <w:qFormat/>
    <w:rsid w:val="001E1BE5"/>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qFormat/>
    <w:rsid w:val="00883850"/>
    <w:rPr>
      <w:rFonts w:asciiTheme="majorHAnsi" w:eastAsiaTheme="majorEastAsia" w:hAnsiTheme="majorHAnsi" w:cstheme="majorBidi"/>
      <w:b/>
      <w:bCs/>
      <w:color w:val="5B9BD5" w:themeColor="accent1"/>
      <w:sz w:val="24"/>
    </w:rPr>
  </w:style>
  <w:style w:type="character" w:styleId="Emphasis">
    <w:name w:val="Emphasis"/>
    <w:uiPriority w:val="20"/>
    <w:qFormat/>
    <w:rsid w:val="00883850"/>
    <w:rPr>
      <w:i/>
      <w:iCs/>
    </w:rPr>
  </w:style>
  <w:style w:type="character" w:customStyle="1" w:styleId="Heading4Char">
    <w:name w:val="Heading 4 Char"/>
    <w:aliases w:val="tables Char"/>
    <w:basedOn w:val="DefaultParagraphFont"/>
    <w:link w:val="Heading4"/>
    <w:uiPriority w:val="9"/>
    <w:qFormat/>
    <w:rsid w:val="00465C92"/>
    <w:rPr>
      <w:rFonts w:asciiTheme="majorHAnsi" w:eastAsiaTheme="majorEastAsia" w:hAnsiTheme="majorHAnsi" w:cstheme="majorBidi"/>
      <w:b/>
      <w:bCs/>
      <w:i/>
      <w:iCs/>
      <w:color w:val="5B9BD5" w:themeColor="accent1"/>
      <w:sz w:val="24"/>
    </w:rPr>
  </w:style>
  <w:style w:type="paragraph" w:styleId="ListParagraph">
    <w:name w:val="List Paragraph"/>
    <w:aliases w:val="Title 2,references,List Paragraph1,normal,caption,Titre 7 Car1,Paragraphe de liste Car Car,Titre 7 Car1 Car Car,Paragraphe de liste Car Car Car Car,Titre 7 Car1 Car Car Car Car,Paragraphe de liste Car Car Car Car Car Car,List Item"/>
    <w:basedOn w:val="Normal"/>
    <w:link w:val="ListParagraphChar"/>
    <w:uiPriority w:val="34"/>
    <w:qFormat/>
    <w:rsid w:val="00FB2196"/>
    <w:pPr>
      <w:suppressAutoHyphens/>
      <w:ind w:left="720"/>
    </w:pPr>
    <w:rPr>
      <w:rFonts w:eastAsia="Calibri" w:cs="Calibri"/>
      <w:lang w:eastAsia="ar-SA"/>
    </w:rPr>
  </w:style>
  <w:style w:type="character" w:customStyle="1" w:styleId="ListParagraphChar">
    <w:name w:val="List Paragraph Char"/>
    <w:aliases w:val="Title 2 Char,references Char,List Paragraph1 Char,normal Char,caption Char,Titre 7 Car1 Char,Paragraphe de liste Car Car Char,Titre 7 Car1 Car Car Char,Paragraphe de liste Car Car Car Car Char,Titre 7 Car1 Car Car Car Car Char"/>
    <w:link w:val="ListParagraph"/>
    <w:uiPriority w:val="34"/>
    <w:qFormat/>
    <w:locked/>
    <w:rsid w:val="00FB2196"/>
    <w:rPr>
      <w:rFonts w:ascii="Times New Roman" w:eastAsia="Calibri" w:hAnsi="Times New Roman" w:cs="Calibri"/>
      <w:sz w:val="24"/>
      <w:lang w:eastAsia="ar-SA"/>
    </w:rPr>
  </w:style>
  <w:style w:type="table" w:styleId="TableGrid">
    <w:name w:val="Table Grid"/>
    <w:basedOn w:val="TableNormal"/>
    <w:uiPriority w:val="39"/>
    <w:qFormat/>
    <w:rsid w:val="00277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FIGURES,TABLES,Légende Car,Caption Char2 Char,Caption Char Char Char,Caption Char Char Char Char Char,Ref Char Char Char Char Char,Caption Char1 Char Char Char Char Char,Caption Char Char Char Char Char Char Char,Caption Char Char2"/>
    <w:basedOn w:val="Normal"/>
    <w:next w:val="Normal"/>
    <w:link w:val="CaptionChar"/>
    <w:uiPriority w:val="35"/>
    <w:unhideWhenUsed/>
    <w:qFormat/>
    <w:rsid w:val="00526450"/>
    <w:pPr>
      <w:spacing w:before="0" w:after="200" w:line="360" w:lineRule="auto"/>
    </w:pPr>
    <w:rPr>
      <w:b/>
      <w:iCs/>
      <w:szCs w:val="18"/>
    </w:rPr>
  </w:style>
  <w:style w:type="paragraph" w:customStyle="1" w:styleId="EndNoteBibliography">
    <w:name w:val="EndNote Bibliography"/>
    <w:basedOn w:val="Normal"/>
    <w:link w:val="EndNoteBibliographyChar"/>
    <w:rsid w:val="005F54B2"/>
    <w:pPr>
      <w:spacing w:before="0" w:after="200"/>
    </w:pPr>
    <w:rPr>
      <w:rFonts w:eastAsia="Times New Roman" w:cs="Times New Roman"/>
      <w:noProof/>
      <w:szCs w:val="24"/>
      <w:lang w:val="sw-KE" w:eastAsia="sw-KE"/>
    </w:rPr>
  </w:style>
  <w:style w:type="character" w:customStyle="1" w:styleId="EndNoteBibliographyChar">
    <w:name w:val="EndNote Bibliography Char"/>
    <w:link w:val="EndNoteBibliography"/>
    <w:rsid w:val="005F54B2"/>
    <w:rPr>
      <w:rFonts w:ascii="Times New Roman" w:eastAsia="Times New Roman" w:hAnsi="Times New Roman" w:cs="Times New Roman"/>
      <w:noProof/>
      <w:sz w:val="24"/>
      <w:szCs w:val="24"/>
      <w:lang w:val="sw-KE" w:eastAsia="sw-KE"/>
    </w:rPr>
  </w:style>
  <w:style w:type="character" w:styleId="CommentReference">
    <w:name w:val="annotation reference"/>
    <w:basedOn w:val="DefaultParagraphFont"/>
    <w:uiPriority w:val="99"/>
    <w:unhideWhenUsed/>
    <w:qFormat/>
    <w:rsid w:val="001A2F92"/>
    <w:rPr>
      <w:sz w:val="16"/>
      <w:szCs w:val="16"/>
    </w:rPr>
  </w:style>
  <w:style w:type="character" w:styleId="Strong">
    <w:name w:val="Strong"/>
    <w:uiPriority w:val="22"/>
    <w:qFormat/>
    <w:rsid w:val="001A2F92"/>
    <w:rPr>
      <w:b/>
      <w:bCs/>
    </w:rPr>
  </w:style>
  <w:style w:type="character" w:customStyle="1" w:styleId="markedcontent">
    <w:name w:val="markedcontent"/>
    <w:basedOn w:val="DefaultParagraphFont"/>
    <w:rsid w:val="002F26CC"/>
  </w:style>
  <w:style w:type="character" w:styleId="UnresolvedMention">
    <w:name w:val="Unresolved Mention"/>
    <w:basedOn w:val="DefaultParagraphFont"/>
    <w:uiPriority w:val="99"/>
    <w:unhideWhenUsed/>
    <w:rsid w:val="0098538A"/>
    <w:rPr>
      <w:color w:val="605E5C"/>
      <w:shd w:val="clear" w:color="auto" w:fill="E1DFDD"/>
    </w:rPr>
  </w:style>
  <w:style w:type="paragraph" w:customStyle="1" w:styleId="Default">
    <w:name w:val="Default"/>
    <w:qFormat/>
    <w:rsid w:val="00E341BE"/>
    <w:pPr>
      <w:autoSpaceDE w:val="0"/>
      <w:autoSpaceDN w:val="0"/>
      <w:adjustRightInd w:val="0"/>
      <w:spacing w:after="0" w:line="480" w:lineRule="auto"/>
    </w:pPr>
    <w:rPr>
      <w:rFonts w:ascii="Times New Roman" w:eastAsia="Times New Roman" w:hAnsi="Times New Roman" w:cs="Times New Roman"/>
      <w:color w:val="000000"/>
      <w:sz w:val="24"/>
      <w:szCs w:val="24"/>
    </w:rPr>
  </w:style>
  <w:style w:type="character" w:customStyle="1" w:styleId="Heading5Char">
    <w:name w:val="Heading 5 Char"/>
    <w:basedOn w:val="DefaultParagraphFont"/>
    <w:link w:val="Heading5"/>
    <w:uiPriority w:val="9"/>
    <w:qFormat/>
    <w:rsid w:val="00144042"/>
    <w:rPr>
      <w:rFonts w:asciiTheme="majorHAnsi" w:eastAsiaTheme="majorEastAsia" w:hAnsiTheme="majorHAnsi" w:cstheme="majorBidi"/>
      <w:color w:val="1F4D78" w:themeColor="accent1" w:themeShade="7F"/>
      <w:sz w:val="24"/>
      <w:lang w:eastAsia="ar-SA"/>
    </w:rPr>
  </w:style>
  <w:style w:type="character" w:customStyle="1" w:styleId="Heading6Char">
    <w:name w:val="Heading 6 Char"/>
    <w:basedOn w:val="DefaultParagraphFont"/>
    <w:link w:val="Heading6"/>
    <w:uiPriority w:val="9"/>
    <w:rsid w:val="00144042"/>
    <w:rPr>
      <w:rFonts w:ascii="Cambria" w:eastAsia="Cambria" w:hAnsi="Cambria" w:cs="Cambria"/>
      <w:b/>
      <w:sz w:val="20"/>
      <w:szCs w:val="20"/>
    </w:rPr>
  </w:style>
  <w:style w:type="paragraph" w:styleId="DocumentMap">
    <w:name w:val="Document Map"/>
    <w:basedOn w:val="Normal"/>
    <w:link w:val="DocumentMapChar"/>
    <w:uiPriority w:val="99"/>
    <w:semiHidden/>
    <w:unhideWhenUsed/>
    <w:rsid w:val="00144042"/>
    <w:pPr>
      <w:suppressAutoHyphens/>
    </w:pPr>
    <w:rPr>
      <w:rFonts w:ascii="Tahoma" w:eastAsia="Calibri" w:hAnsi="Tahoma" w:cs="Tahoma"/>
      <w:sz w:val="16"/>
      <w:szCs w:val="16"/>
      <w:lang w:eastAsia="ar-SA"/>
    </w:rPr>
  </w:style>
  <w:style w:type="character" w:customStyle="1" w:styleId="DocumentMapChar">
    <w:name w:val="Document Map Char"/>
    <w:basedOn w:val="DefaultParagraphFont"/>
    <w:link w:val="DocumentMap"/>
    <w:uiPriority w:val="99"/>
    <w:semiHidden/>
    <w:rsid w:val="00144042"/>
    <w:rPr>
      <w:rFonts w:ascii="Tahoma" w:eastAsia="Calibri" w:hAnsi="Tahoma" w:cs="Tahoma"/>
      <w:sz w:val="16"/>
      <w:szCs w:val="16"/>
      <w:lang w:eastAsia="ar-SA"/>
    </w:rPr>
  </w:style>
  <w:style w:type="paragraph" w:styleId="NormalWeb">
    <w:name w:val="Normal (Web)"/>
    <w:aliases w:val="Justified,Line spacing:  1.5 lines,Char Char8"/>
    <w:basedOn w:val="Normal"/>
    <w:link w:val="NormalWebChar"/>
    <w:uiPriority w:val="99"/>
    <w:qFormat/>
    <w:rsid w:val="00144042"/>
    <w:pPr>
      <w:suppressAutoHyphens/>
    </w:pPr>
    <w:rPr>
      <w:rFonts w:eastAsia="Calibri" w:cs="Calibri"/>
      <w:szCs w:val="24"/>
      <w:lang w:eastAsia="ar-SA"/>
    </w:rPr>
  </w:style>
  <w:style w:type="paragraph" w:styleId="Subtitle">
    <w:name w:val="Subtitle"/>
    <w:basedOn w:val="Normal"/>
    <w:next w:val="Normal"/>
    <w:link w:val="SubtitleChar"/>
    <w:uiPriority w:val="11"/>
    <w:qFormat/>
    <w:rsid w:val="00144042"/>
    <w:pPr>
      <w:numPr>
        <w:ilvl w:val="1"/>
      </w:numPr>
      <w:suppressAutoHyphens/>
    </w:pPr>
    <w:rPr>
      <w:rFonts w:asciiTheme="majorHAnsi" w:eastAsiaTheme="majorEastAsia" w:hAnsiTheme="majorHAnsi" w:cstheme="majorBidi"/>
      <w:i/>
      <w:iCs/>
      <w:color w:val="5B9BD5" w:themeColor="accent1"/>
      <w:spacing w:val="15"/>
      <w:szCs w:val="24"/>
      <w:lang w:eastAsia="ar-SA"/>
    </w:rPr>
  </w:style>
  <w:style w:type="character" w:customStyle="1" w:styleId="SubtitleChar">
    <w:name w:val="Subtitle Char"/>
    <w:basedOn w:val="DefaultParagraphFont"/>
    <w:link w:val="Subtitle"/>
    <w:uiPriority w:val="11"/>
    <w:rsid w:val="00144042"/>
    <w:rPr>
      <w:rFonts w:asciiTheme="majorHAnsi" w:eastAsiaTheme="majorEastAsia" w:hAnsiTheme="majorHAnsi" w:cstheme="majorBidi"/>
      <w:i/>
      <w:iCs/>
      <w:color w:val="5B9BD5" w:themeColor="accent1"/>
      <w:spacing w:val="15"/>
      <w:sz w:val="24"/>
      <w:szCs w:val="24"/>
      <w:lang w:eastAsia="ar-SA"/>
    </w:rPr>
  </w:style>
  <w:style w:type="character" w:customStyle="1" w:styleId="ilfuvd">
    <w:name w:val="ilfuvd"/>
    <w:basedOn w:val="DefaultParagraphFont"/>
    <w:rsid w:val="00144042"/>
  </w:style>
  <w:style w:type="paragraph" w:styleId="CommentText">
    <w:name w:val="annotation text"/>
    <w:basedOn w:val="Normal"/>
    <w:link w:val="CommentTextChar"/>
    <w:uiPriority w:val="99"/>
    <w:unhideWhenUsed/>
    <w:qFormat/>
    <w:rsid w:val="00144042"/>
    <w:pPr>
      <w:suppressAutoHyphens/>
    </w:pPr>
    <w:rPr>
      <w:rFonts w:eastAsia="Calibri" w:cs="Calibri"/>
      <w:sz w:val="20"/>
      <w:szCs w:val="20"/>
      <w:lang w:eastAsia="ar-SA"/>
    </w:rPr>
  </w:style>
  <w:style w:type="character" w:customStyle="1" w:styleId="CommentTextChar">
    <w:name w:val="Comment Text Char"/>
    <w:basedOn w:val="DefaultParagraphFont"/>
    <w:link w:val="CommentText"/>
    <w:uiPriority w:val="99"/>
    <w:rsid w:val="00144042"/>
    <w:rPr>
      <w:rFonts w:ascii="Times New Roman" w:eastAsia="Calibri" w:hAnsi="Times New Roman" w:cs="Calibri"/>
      <w:sz w:val="20"/>
      <w:szCs w:val="20"/>
      <w:lang w:eastAsia="ar-SA"/>
    </w:rPr>
  </w:style>
  <w:style w:type="paragraph" w:styleId="CommentSubject">
    <w:name w:val="annotation subject"/>
    <w:basedOn w:val="CommentText"/>
    <w:next w:val="CommentText"/>
    <w:link w:val="CommentSubjectChar"/>
    <w:uiPriority w:val="99"/>
    <w:unhideWhenUsed/>
    <w:rsid w:val="00144042"/>
    <w:rPr>
      <w:b/>
      <w:bCs/>
    </w:rPr>
  </w:style>
  <w:style w:type="character" w:customStyle="1" w:styleId="CommentSubjectChar">
    <w:name w:val="Comment Subject Char"/>
    <w:basedOn w:val="CommentTextChar"/>
    <w:link w:val="CommentSubject"/>
    <w:uiPriority w:val="99"/>
    <w:rsid w:val="00144042"/>
    <w:rPr>
      <w:rFonts w:ascii="Times New Roman" w:eastAsia="Calibri" w:hAnsi="Times New Roman" w:cs="Calibri"/>
      <w:b/>
      <w:bCs/>
      <w:sz w:val="20"/>
      <w:szCs w:val="20"/>
      <w:lang w:eastAsia="ar-SA"/>
    </w:rPr>
  </w:style>
  <w:style w:type="character" w:customStyle="1" w:styleId="gi">
    <w:name w:val="gi"/>
    <w:basedOn w:val="DefaultParagraphFont"/>
    <w:rsid w:val="00144042"/>
  </w:style>
  <w:style w:type="character" w:customStyle="1" w:styleId="go">
    <w:name w:val="go"/>
    <w:basedOn w:val="DefaultParagraphFont"/>
    <w:rsid w:val="00144042"/>
  </w:style>
  <w:style w:type="table" w:customStyle="1" w:styleId="TableGrid2">
    <w:name w:val="Table Grid2"/>
    <w:basedOn w:val="TableNormal"/>
    <w:next w:val="TableGrid"/>
    <w:uiPriority w:val="39"/>
    <w:rsid w:val="001440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
    <w:name w:val="Normal1"/>
    <w:uiPriority w:val="99"/>
    <w:rsid w:val="00144042"/>
    <w:pPr>
      <w:spacing w:after="200" w:line="276" w:lineRule="auto"/>
      <w:ind w:left="634"/>
    </w:pPr>
    <w:rPr>
      <w:rFonts w:ascii="Calibri" w:eastAsia="Calibri" w:hAnsi="Calibri" w:cs="Calibri"/>
    </w:rPr>
  </w:style>
  <w:style w:type="character" w:customStyle="1" w:styleId="ff3">
    <w:name w:val="ff3"/>
    <w:basedOn w:val="DefaultParagraphFont"/>
    <w:rsid w:val="00144042"/>
  </w:style>
  <w:style w:type="character" w:customStyle="1" w:styleId="a">
    <w:name w:val="_"/>
    <w:basedOn w:val="DefaultParagraphFont"/>
    <w:rsid w:val="00144042"/>
  </w:style>
  <w:style w:type="character" w:customStyle="1" w:styleId="ff1">
    <w:name w:val="ff1"/>
    <w:basedOn w:val="DefaultParagraphFont"/>
    <w:rsid w:val="00144042"/>
  </w:style>
  <w:style w:type="character" w:customStyle="1" w:styleId="ls4">
    <w:name w:val="ls4"/>
    <w:basedOn w:val="DefaultParagraphFont"/>
    <w:uiPriority w:val="99"/>
    <w:rsid w:val="00144042"/>
  </w:style>
  <w:style w:type="character" w:customStyle="1" w:styleId="title-text">
    <w:name w:val="title-text"/>
    <w:basedOn w:val="DefaultParagraphFont"/>
    <w:rsid w:val="00144042"/>
  </w:style>
  <w:style w:type="character" w:customStyle="1" w:styleId="selectable">
    <w:name w:val="selectable"/>
    <w:basedOn w:val="DefaultParagraphFont"/>
    <w:rsid w:val="00144042"/>
  </w:style>
  <w:style w:type="character" w:customStyle="1" w:styleId="UnresolvedMention1">
    <w:name w:val="Unresolved Mention1"/>
    <w:basedOn w:val="DefaultParagraphFont"/>
    <w:uiPriority w:val="99"/>
    <w:semiHidden/>
    <w:unhideWhenUsed/>
    <w:rsid w:val="00144042"/>
    <w:rPr>
      <w:color w:val="605E5C"/>
      <w:shd w:val="clear" w:color="auto" w:fill="E1DFDD"/>
    </w:rPr>
  </w:style>
  <w:style w:type="paragraph" w:customStyle="1" w:styleId="NoSpacing1">
    <w:name w:val="No Spacing1"/>
    <w:next w:val="NoSpacing"/>
    <w:uiPriority w:val="1"/>
    <w:rsid w:val="00144042"/>
    <w:pPr>
      <w:spacing w:after="0" w:line="240" w:lineRule="auto"/>
      <w:jc w:val="both"/>
    </w:pPr>
    <w:rPr>
      <w:rFonts w:ascii="Times New Roman" w:eastAsia="Times New Roman" w:hAnsi="Times New Roman"/>
      <w:sz w:val="20"/>
      <w:szCs w:val="20"/>
      <w:lang w:bidi="kok-IN"/>
    </w:rPr>
  </w:style>
  <w:style w:type="character" w:customStyle="1" w:styleId="author">
    <w:name w:val="author"/>
    <w:rsid w:val="00144042"/>
  </w:style>
  <w:style w:type="paragraph" w:styleId="Revision">
    <w:name w:val="Revision"/>
    <w:hidden/>
    <w:uiPriority w:val="99"/>
    <w:semiHidden/>
    <w:rsid w:val="00144042"/>
    <w:pPr>
      <w:spacing w:after="0" w:line="240" w:lineRule="auto"/>
    </w:pPr>
    <w:rPr>
      <w:rFonts w:ascii="Times New Roman" w:eastAsia="Calibri" w:hAnsi="Times New Roman" w:cs="Calibri"/>
      <w:sz w:val="24"/>
      <w:lang w:eastAsia="ar-SA"/>
    </w:rPr>
  </w:style>
  <w:style w:type="character" w:customStyle="1" w:styleId="styles">
    <w:name w:val="styles"/>
    <w:basedOn w:val="DefaultParagraphFont"/>
    <w:rsid w:val="00144042"/>
  </w:style>
  <w:style w:type="paragraph" w:customStyle="1" w:styleId="Listoftables">
    <w:name w:val="List of tables"/>
    <w:basedOn w:val="Normal"/>
    <w:link w:val="ListoftablesChar"/>
    <w:rsid w:val="00144042"/>
    <w:pPr>
      <w:spacing w:before="0" w:after="0"/>
    </w:pPr>
    <w:rPr>
      <w:rFonts w:eastAsia="Times New Roman" w:cs="Times New Roman"/>
      <w:szCs w:val="24"/>
      <w:lang w:eastAsia="en-GB"/>
    </w:rPr>
  </w:style>
  <w:style w:type="character" w:customStyle="1" w:styleId="ListoftablesChar">
    <w:name w:val="List of tables Char"/>
    <w:basedOn w:val="DefaultParagraphFont"/>
    <w:link w:val="Listoftables"/>
    <w:rsid w:val="00144042"/>
    <w:rPr>
      <w:rFonts w:ascii="Times New Roman" w:eastAsia="Times New Roman" w:hAnsi="Times New Roman" w:cs="Times New Roman"/>
      <w:sz w:val="24"/>
      <w:szCs w:val="24"/>
      <w:lang w:eastAsia="en-GB"/>
    </w:rPr>
  </w:style>
  <w:style w:type="paragraph" w:styleId="Bibliography">
    <w:name w:val="Bibliography"/>
    <w:basedOn w:val="Normal"/>
    <w:next w:val="Normal"/>
    <w:uiPriority w:val="37"/>
    <w:unhideWhenUsed/>
    <w:rsid w:val="00144042"/>
    <w:pPr>
      <w:suppressAutoHyphens/>
    </w:pPr>
    <w:rPr>
      <w:rFonts w:eastAsia="Calibri" w:cs="Calibri"/>
      <w:lang w:eastAsia="ar-SA"/>
    </w:rPr>
  </w:style>
  <w:style w:type="table" w:customStyle="1" w:styleId="ListTable6Colorful1">
    <w:name w:val="List Table 6 Colorful1"/>
    <w:basedOn w:val="TableNormal"/>
    <w:uiPriority w:val="51"/>
    <w:rsid w:val="0014404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1"/>
    <w:rsid w:val="00144042"/>
    <w:pPr>
      <w:widowControl w:val="0"/>
      <w:autoSpaceDE w:val="0"/>
      <w:autoSpaceDN w:val="0"/>
      <w:spacing w:before="0" w:after="0"/>
      <w:jc w:val="left"/>
    </w:pPr>
    <w:rPr>
      <w:rFonts w:eastAsia="Times New Roman" w:cs="Times New Roman"/>
      <w:szCs w:val="24"/>
    </w:rPr>
  </w:style>
  <w:style w:type="character" w:customStyle="1" w:styleId="BodyTextChar">
    <w:name w:val="Body Text Char"/>
    <w:basedOn w:val="DefaultParagraphFont"/>
    <w:link w:val="BodyText"/>
    <w:uiPriority w:val="1"/>
    <w:qFormat/>
    <w:rsid w:val="00144042"/>
    <w:rPr>
      <w:rFonts w:ascii="Times New Roman" w:eastAsia="Times New Roman" w:hAnsi="Times New Roman" w:cs="Times New Roman"/>
      <w:sz w:val="24"/>
      <w:szCs w:val="24"/>
    </w:rPr>
  </w:style>
  <w:style w:type="paragraph" w:customStyle="1" w:styleId="TableParagraph">
    <w:name w:val="Table Paragraph"/>
    <w:basedOn w:val="Normal"/>
    <w:uiPriority w:val="1"/>
    <w:rsid w:val="00144042"/>
    <w:pPr>
      <w:widowControl w:val="0"/>
      <w:autoSpaceDE w:val="0"/>
      <w:autoSpaceDN w:val="0"/>
      <w:spacing w:before="0" w:after="0"/>
      <w:jc w:val="left"/>
    </w:pPr>
    <w:rPr>
      <w:rFonts w:ascii="Arial" w:eastAsia="Arial" w:hAnsi="Arial" w:cs="Arial"/>
      <w:sz w:val="22"/>
    </w:rPr>
  </w:style>
  <w:style w:type="paragraph" w:styleId="TOCHeading">
    <w:name w:val="TOC Heading"/>
    <w:basedOn w:val="Heading1"/>
    <w:next w:val="Normal"/>
    <w:uiPriority w:val="39"/>
    <w:unhideWhenUsed/>
    <w:qFormat/>
    <w:rsid w:val="00144042"/>
    <w:pPr>
      <w:suppressAutoHyphens w:val="0"/>
      <w:spacing w:before="240" w:after="0" w:line="360" w:lineRule="auto"/>
      <w:jc w:val="center"/>
      <w:outlineLvl w:val="9"/>
    </w:pPr>
    <w:rPr>
      <w:bCs w:val="0"/>
      <w:szCs w:val="32"/>
      <w:lang w:eastAsia="en-US"/>
    </w:rPr>
  </w:style>
  <w:style w:type="paragraph" w:styleId="TOC1">
    <w:name w:val="toc 1"/>
    <w:basedOn w:val="Normal"/>
    <w:next w:val="Normal"/>
    <w:autoRedefine/>
    <w:uiPriority w:val="39"/>
    <w:unhideWhenUsed/>
    <w:qFormat/>
    <w:rsid w:val="00144042"/>
    <w:pPr>
      <w:spacing w:before="0"/>
      <w:jc w:val="left"/>
    </w:pPr>
    <w:rPr>
      <w:rFonts w:ascii="Cambria" w:eastAsia="Cambria" w:hAnsi="Cambria" w:cs="Cambria"/>
      <w:szCs w:val="24"/>
    </w:rPr>
  </w:style>
  <w:style w:type="paragraph" w:styleId="TOC2">
    <w:name w:val="toc 2"/>
    <w:basedOn w:val="Normal"/>
    <w:next w:val="Normal"/>
    <w:autoRedefine/>
    <w:uiPriority w:val="39"/>
    <w:unhideWhenUsed/>
    <w:qFormat/>
    <w:rsid w:val="00144042"/>
    <w:pPr>
      <w:tabs>
        <w:tab w:val="right" w:leader="dot" w:pos="8630"/>
      </w:tabs>
      <w:spacing w:before="0"/>
      <w:jc w:val="left"/>
    </w:pPr>
    <w:rPr>
      <w:rFonts w:eastAsia="Cambria" w:cs="Times New Roman"/>
      <w:noProof/>
      <w:szCs w:val="24"/>
    </w:rPr>
  </w:style>
  <w:style w:type="paragraph" w:styleId="TOC3">
    <w:name w:val="toc 3"/>
    <w:basedOn w:val="Normal"/>
    <w:next w:val="Normal"/>
    <w:autoRedefine/>
    <w:uiPriority w:val="39"/>
    <w:unhideWhenUsed/>
    <w:qFormat/>
    <w:rsid w:val="00144042"/>
    <w:pPr>
      <w:tabs>
        <w:tab w:val="right" w:leader="dot" w:pos="8630"/>
      </w:tabs>
      <w:spacing w:before="0" w:line="480" w:lineRule="auto"/>
      <w:jc w:val="left"/>
    </w:pPr>
    <w:rPr>
      <w:rFonts w:eastAsia="Cambria" w:cs="Times New Roman"/>
      <w:noProof/>
      <w:color w:val="000000" w:themeColor="text1"/>
      <w:szCs w:val="24"/>
    </w:rPr>
  </w:style>
  <w:style w:type="character" w:styleId="PageNumber">
    <w:name w:val="page number"/>
    <w:basedOn w:val="DefaultParagraphFont"/>
    <w:unhideWhenUsed/>
    <w:rsid w:val="00144042"/>
  </w:style>
  <w:style w:type="paragraph" w:styleId="TableofFigures">
    <w:name w:val="table of figures"/>
    <w:basedOn w:val="Normal"/>
    <w:next w:val="Normal"/>
    <w:uiPriority w:val="99"/>
    <w:unhideWhenUsed/>
    <w:qFormat/>
    <w:rsid w:val="00144042"/>
    <w:pPr>
      <w:spacing w:before="0" w:after="0"/>
      <w:jc w:val="left"/>
    </w:pPr>
    <w:rPr>
      <w:rFonts w:ascii="Cambria" w:eastAsia="Cambria" w:hAnsi="Cambria" w:cs="Cambria"/>
      <w:szCs w:val="24"/>
    </w:rPr>
  </w:style>
  <w:style w:type="character" w:styleId="FollowedHyperlink">
    <w:name w:val="FollowedHyperlink"/>
    <w:basedOn w:val="DefaultParagraphFont"/>
    <w:uiPriority w:val="99"/>
    <w:unhideWhenUsed/>
    <w:rsid w:val="00144042"/>
    <w:rPr>
      <w:color w:val="954F72" w:themeColor="followedHyperlink"/>
      <w:u w:val="single"/>
    </w:rPr>
  </w:style>
  <w:style w:type="character" w:customStyle="1" w:styleId="hgkelc">
    <w:name w:val="hgkelc"/>
    <w:basedOn w:val="DefaultParagraphFont"/>
    <w:rsid w:val="00144042"/>
  </w:style>
  <w:style w:type="character" w:customStyle="1" w:styleId="NormalWebChar">
    <w:name w:val="Normal (Web) Char"/>
    <w:aliases w:val="Justified Char,Line spacing:  1.5 lines Char,Char Char8 Char"/>
    <w:link w:val="NormalWeb"/>
    <w:uiPriority w:val="99"/>
    <w:rsid w:val="00144042"/>
    <w:rPr>
      <w:rFonts w:ascii="Times New Roman" w:eastAsia="Calibri" w:hAnsi="Times New Roman" w:cs="Calibri"/>
      <w:sz w:val="24"/>
      <w:szCs w:val="24"/>
      <w:lang w:eastAsia="ar-SA"/>
    </w:rPr>
  </w:style>
  <w:style w:type="character" w:styleId="PlaceholderText">
    <w:name w:val="Placeholder Text"/>
    <w:basedOn w:val="DefaultParagraphFont"/>
    <w:uiPriority w:val="99"/>
    <w:qFormat/>
    <w:rsid w:val="00144042"/>
    <w:rPr>
      <w:color w:val="808080"/>
    </w:rPr>
  </w:style>
  <w:style w:type="character" w:customStyle="1" w:styleId="jpfdse">
    <w:name w:val="jpfdse"/>
    <w:basedOn w:val="DefaultParagraphFont"/>
    <w:rsid w:val="00144042"/>
  </w:style>
  <w:style w:type="table" w:customStyle="1" w:styleId="TableGridLight1">
    <w:name w:val="Table Grid Light1"/>
    <w:basedOn w:val="TableNormal"/>
    <w:uiPriority w:val="40"/>
    <w:rsid w:val="00144042"/>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144042"/>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4">
    <w:name w:val="toc 4"/>
    <w:basedOn w:val="Normal"/>
    <w:next w:val="Normal"/>
    <w:autoRedefine/>
    <w:uiPriority w:val="39"/>
    <w:unhideWhenUsed/>
    <w:qFormat/>
    <w:rsid w:val="00502DE0"/>
    <w:pPr>
      <w:spacing w:before="0" w:line="259" w:lineRule="auto"/>
      <w:ind w:left="660"/>
      <w:jc w:val="left"/>
    </w:pPr>
    <w:rPr>
      <w:rFonts w:asciiTheme="minorHAnsi" w:eastAsiaTheme="minorEastAsia" w:hAnsiTheme="minorHAnsi"/>
      <w:sz w:val="22"/>
    </w:rPr>
  </w:style>
  <w:style w:type="paragraph" w:styleId="TOC5">
    <w:name w:val="toc 5"/>
    <w:basedOn w:val="Normal"/>
    <w:next w:val="Normal"/>
    <w:autoRedefine/>
    <w:uiPriority w:val="39"/>
    <w:unhideWhenUsed/>
    <w:qFormat/>
    <w:rsid w:val="00502DE0"/>
    <w:pPr>
      <w:spacing w:before="0" w:line="259" w:lineRule="auto"/>
      <w:ind w:left="880"/>
      <w:jc w:val="left"/>
    </w:pPr>
    <w:rPr>
      <w:rFonts w:asciiTheme="minorHAnsi" w:eastAsiaTheme="minorEastAsia" w:hAnsiTheme="minorHAnsi"/>
      <w:sz w:val="22"/>
    </w:rPr>
  </w:style>
  <w:style w:type="paragraph" w:styleId="TOC6">
    <w:name w:val="toc 6"/>
    <w:basedOn w:val="Normal"/>
    <w:next w:val="Normal"/>
    <w:autoRedefine/>
    <w:uiPriority w:val="39"/>
    <w:unhideWhenUsed/>
    <w:qFormat/>
    <w:rsid w:val="00502DE0"/>
    <w:pPr>
      <w:spacing w:before="0" w:line="259"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qFormat/>
    <w:rsid w:val="00502DE0"/>
    <w:pPr>
      <w:spacing w:before="0" w:line="259"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qFormat/>
    <w:rsid w:val="00502DE0"/>
    <w:pPr>
      <w:spacing w:before="0" w:line="259"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qFormat/>
    <w:rsid w:val="00502DE0"/>
    <w:pPr>
      <w:spacing w:before="0" w:line="259" w:lineRule="auto"/>
      <w:ind w:left="1760"/>
      <w:jc w:val="left"/>
    </w:pPr>
    <w:rPr>
      <w:rFonts w:asciiTheme="minorHAnsi" w:eastAsiaTheme="minorEastAsia" w:hAnsiTheme="minorHAnsi"/>
      <w:sz w:val="22"/>
    </w:rPr>
  </w:style>
  <w:style w:type="table" w:customStyle="1" w:styleId="TableGrid0">
    <w:name w:val="TableGrid"/>
    <w:qFormat/>
    <w:rsid w:val="00502DE0"/>
    <w:pPr>
      <w:spacing w:after="0" w:line="240" w:lineRule="auto"/>
    </w:pPr>
    <w:rPr>
      <w:rFonts w:eastAsia="Times New Roman"/>
    </w:rPr>
    <w:tblPr>
      <w:tblCellMar>
        <w:top w:w="0" w:type="dxa"/>
        <w:left w:w="0" w:type="dxa"/>
        <w:bottom w:w="0" w:type="dxa"/>
        <w:right w:w="0" w:type="dxa"/>
      </w:tblCellMar>
    </w:tblPr>
  </w:style>
  <w:style w:type="character" w:customStyle="1" w:styleId="hlfld-contribauthor">
    <w:name w:val="hlfld-contribauthor"/>
    <w:basedOn w:val="DefaultParagraphFont"/>
    <w:rsid w:val="00502DE0"/>
  </w:style>
  <w:style w:type="character" w:customStyle="1" w:styleId="nlmgiven-names">
    <w:name w:val="nlm_given-names"/>
    <w:basedOn w:val="DefaultParagraphFont"/>
    <w:rsid w:val="00502DE0"/>
  </w:style>
  <w:style w:type="character" w:customStyle="1" w:styleId="nlmedition">
    <w:name w:val="nlm_edition"/>
    <w:basedOn w:val="DefaultParagraphFont"/>
    <w:rsid w:val="00502DE0"/>
  </w:style>
  <w:style w:type="character" w:customStyle="1" w:styleId="nlmpublisher-loc">
    <w:name w:val="nlm_publisher-loc"/>
    <w:basedOn w:val="DefaultParagraphFont"/>
    <w:rsid w:val="00502DE0"/>
  </w:style>
  <w:style w:type="character" w:customStyle="1" w:styleId="nlmpublisher-name">
    <w:name w:val="nlm_publisher-name"/>
    <w:basedOn w:val="DefaultParagraphFont"/>
    <w:rsid w:val="00502DE0"/>
  </w:style>
  <w:style w:type="character" w:styleId="HTMLCite">
    <w:name w:val="HTML Cite"/>
    <w:basedOn w:val="DefaultParagraphFont"/>
    <w:uiPriority w:val="99"/>
    <w:unhideWhenUsed/>
    <w:rsid w:val="00502DE0"/>
    <w:rPr>
      <w:i/>
      <w:iCs/>
    </w:rPr>
  </w:style>
  <w:style w:type="paragraph" w:customStyle="1" w:styleId="Normaalirivivli1">
    <w:name w:val="Normaali_riviväli 1"/>
    <w:next w:val="Normal"/>
    <w:rsid w:val="008955B0"/>
    <w:pPr>
      <w:spacing w:before="120" w:after="120" w:line="360" w:lineRule="auto"/>
      <w:jc w:val="both"/>
    </w:pPr>
    <w:rPr>
      <w:rFonts w:ascii="Times New Roman" w:eastAsia="Times New Roman" w:hAnsi="Times New Roman" w:cs="Times New Roman"/>
      <w:sz w:val="24"/>
      <w:szCs w:val="20"/>
      <w:lang w:val="fi-FI"/>
    </w:rPr>
  </w:style>
  <w:style w:type="character" w:customStyle="1" w:styleId="CaptionChar">
    <w:name w:val="Caption Char"/>
    <w:aliases w:val="Caption: FIGURES Char,TABLES Char,Légende Car Char,Caption Char2 Char Char,Caption Char Char Char Char,Caption Char Char Char Char Char Char,Ref Char Char Char Char Char Char,Caption Char1 Char Char Char Char Char Char"/>
    <w:link w:val="Caption"/>
    <w:qFormat/>
    <w:locked/>
    <w:rsid w:val="00563B84"/>
    <w:rPr>
      <w:rFonts w:ascii="Times New Roman" w:hAnsi="Times New Roman"/>
      <w:b/>
      <w:iCs/>
      <w:sz w:val="24"/>
      <w:szCs w:val="18"/>
    </w:rPr>
  </w:style>
  <w:style w:type="character" w:customStyle="1" w:styleId="UnresolvedMention2">
    <w:name w:val="Unresolved Mention2"/>
    <w:uiPriority w:val="99"/>
    <w:semiHidden/>
    <w:unhideWhenUsed/>
    <w:rsid w:val="0073695A"/>
    <w:rPr>
      <w:color w:val="605E5C"/>
      <w:shd w:val="clear" w:color="auto" w:fill="E1DFDD"/>
    </w:rPr>
  </w:style>
  <w:style w:type="paragraph" w:customStyle="1" w:styleId="halfrhythm">
    <w:name w:val="half_rhythm"/>
    <w:basedOn w:val="Normal"/>
    <w:rsid w:val="0073695A"/>
    <w:pPr>
      <w:spacing w:beforeAutospacing="1" w:afterAutospacing="1"/>
      <w:jc w:val="left"/>
    </w:pPr>
    <w:rPr>
      <w:rFonts w:ascii="Calibri" w:eastAsia="Times New Roman" w:hAnsi="Calibri" w:cs="Times New Roman"/>
      <w:sz w:val="22"/>
      <w:szCs w:val="24"/>
    </w:rPr>
  </w:style>
  <w:style w:type="character" w:customStyle="1" w:styleId="fontstyle01">
    <w:name w:val="fontstyle01"/>
    <w:rsid w:val="0073695A"/>
    <w:rPr>
      <w:rFonts w:ascii="TimesTen-Roman" w:hAnsi="TimesTen-Roman" w:hint="default"/>
      <w:b w:val="0"/>
      <w:bCs w:val="0"/>
      <w:i w:val="0"/>
      <w:iCs w:val="0"/>
      <w:color w:val="000000"/>
      <w:sz w:val="16"/>
      <w:szCs w:val="16"/>
    </w:rPr>
  </w:style>
  <w:style w:type="table" w:styleId="PlainTable2">
    <w:name w:val="Plain Table 2"/>
    <w:basedOn w:val="TableNormal"/>
    <w:uiPriority w:val="42"/>
    <w:rsid w:val="002E56EA"/>
    <w:pPr>
      <w:spacing w:after="0" w:line="240" w:lineRule="auto"/>
    </w:pPr>
    <w:rPr>
      <w:rFonts w:ascii="Arial" w:eastAsia="Arial" w:hAnsi="Arial" w:cs="Arial"/>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7Char">
    <w:name w:val="Heading 7 Char"/>
    <w:basedOn w:val="DefaultParagraphFont"/>
    <w:link w:val="Heading7"/>
    <w:uiPriority w:val="9"/>
    <w:semiHidden/>
    <w:rsid w:val="00E4232D"/>
    <w:rPr>
      <w:rFonts w:ascii="Calibri Light" w:eastAsia="Times New Roman" w:hAnsi="Calibri Light" w:cs="Times New Roman"/>
      <w:i/>
      <w:iCs/>
      <w:color w:val="1F4E79"/>
      <w:sz w:val="24"/>
    </w:rPr>
  </w:style>
  <w:style w:type="character" w:customStyle="1" w:styleId="Heading8Char">
    <w:name w:val="Heading 8 Char"/>
    <w:basedOn w:val="DefaultParagraphFont"/>
    <w:link w:val="Heading8"/>
    <w:uiPriority w:val="9"/>
    <w:semiHidden/>
    <w:rsid w:val="00E4232D"/>
    <w:rPr>
      <w:rFonts w:ascii="Calibri Light" w:eastAsia="Times New Roman" w:hAnsi="Calibri Light" w:cs="Times New Roman"/>
      <w:color w:val="262626"/>
      <w:sz w:val="21"/>
      <w:szCs w:val="21"/>
    </w:rPr>
  </w:style>
  <w:style w:type="character" w:customStyle="1" w:styleId="Heading9Char">
    <w:name w:val="Heading 9 Char"/>
    <w:basedOn w:val="DefaultParagraphFont"/>
    <w:link w:val="Heading9"/>
    <w:uiPriority w:val="9"/>
    <w:semiHidden/>
    <w:rsid w:val="00E4232D"/>
    <w:rPr>
      <w:rFonts w:ascii="Calibri Light" w:eastAsia="Times New Roman" w:hAnsi="Calibri Light" w:cs="Times New Roman"/>
      <w:i/>
      <w:iCs/>
      <w:color w:val="262626"/>
      <w:sz w:val="21"/>
      <w:szCs w:val="21"/>
    </w:rPr>
  </w:style>
  <w:style w:type="character" w:customStyle="1" w:styleId="a0">
    <w:name w:val="a"/>
    <w:basedOn w:val="DefaultParagraphFont"/>
    <w:rsid w:val="00E4232D"/>
  </w:style>
  <w:style w:type="paragraph" w:customStyle="1" w:styleId="post-meta">
    <w:name w:val="post-meta"/>
    <w:basedOn w:val="Normal"/>
    <w:rsid w:val="00E4232D"/>
    <w:pPr>
      <w:spacing w:beforeAutospacing="1" w:afterAutospacing="1"/>
      <w:jc w:val="left"/>
    </w:pPr>
    <w:rPr>
      <w:rFonts w:eastAsia="Times New Roman" w:cs="Times New Roman"/>
      <w:szCs w:val="24"/>
    </w:rPr>
  </w:style>
  <w:style w:type="paragraph" w:customStyle="1" w:styleId="REF-STYLE">
    <w:name w:val="REF-STYLE"/>
    <w:basedOn w:val="Normal"/>
    <w:link w:val="REF-STYLEChar"/>
    <w:rsid w:val="004D7164"/>
    <w:pPr>
      <w:spacing w:before="120" w:after="120" w:line="480" w:lineRule="auto"/>
      <w:jc w:val="left"/>
    </w:pPr>
    <w:rPr>
      <w:rFonts w:eastAsia="Calibri" w:cs="Calibri"/>
      <w:szCs w:val="24"/>
    </w:rPr>
  </w:style>
  <w:style w:type="character" w:customStyle="1" w:styleId="REF-STYLEChar">
    <w:name w:val="REF-STYLE Char"/>
    <w:link w:val="REF-STYLE"/>
    <w:rsid w:val="004D7164"/>
    <w:rPr>
      <w:rFonts w:ascii="Times New Roman" w:eastAsia="Calibri" w:hAnsi="Times New Roman" w:cs="Calibri"/>
      <w:sz w:val="24"/>
      <w:szCs w:val="24"/>
    </w:rPr>
  </w:style>
  <w:style w:type="paragraph" w:styleId="BodyTextIndent">
    <w:name w:val="Body Text Indent"/>
    <w:basedOn w:val="Normal"/>
    <w:link w:val="BodyTextIndentChar"/>
    <w:rsid w:val="008C67FF"/>
    <w:pPr>
      <w:spacing w:before="0" w:after="0"/>
      <w:ind w:left="720"/>
    </w:pPr>
    <w:rPr>
      <w:rFonts w:eastAsia="Times New Roman" w:cs="Times New Roman"/>
      <w:szCs w:val="24"/>
    </w:rPr>
  </w:style>
  <w:style w:type="character" w:customStyle="1" w:styleId="BodyTextIndentChar">
    <w:name w:val="Body Text Indent Char"/>
    <w:basedOn w:val="DefaultParagraphFont"/>
    <w:link w:val="BodyTextIndent"/>
    <w:rsid w:val="008C67FF"/>
    <w:rPr>
      <w:rFonts w:ascii="Times New Roman" w:eastAsia="Times New Roman" w:hAnsi="Times New Roman" w:cs="Times New Roman"/>
      <w:sz w:val="24"/>
      <w:szCs w:val="24"/>
    </w:rPr>
  </w:style>
  <w:style w:type="character" w:styleId="FootnoteReference">
    <w:name w:val="footnote reference"/>
    <w:uiPriority w:val="99"/>
    <w:unhideWhenUsed/>
    <w:rsid w:val="008C67FF"/>
    <w:rPr>
      <w:vertAlign w:val="superscript"/>
    </w:rPr>
  </w:style>
  <w:style w:type="paragraph" w:styleId="FootnoteText">
    <w:name w:val="footnote text"/>
    <w:basedOn w:val="Normal"/>
    <w:link w:val="FootnoteTextChar"/>
    <w:uiPriority w:val="99"/>
    <w:unhideWhenUsed/>
    <w:rsid w:val="008C67FF"/>
    <w:pPr>
      <w:spacing w:before="0" w:after="200" w:line="276" w:lineRule="auto"/>
      <w:jc w:val="left"/>
    </w:pPr>
    <w:rPr>
      <w:rFonts w:eastAsia="Calibri" w:cs="Times New Roman"/>
      <w:sz w:val="20"/>
      <w:szCs w:val="20"/>
    </w:rPr>
  </w:style>
  <w:style w:type="character" w:customStyle="1" w:styleId="FootnoteTextChar">
    <w:name w:val="Footnote Text Char"/>
    <w:basedOn w:val="DefaultParagraphFont"/>
    <w:link w:val="FootnoteText"/>
    <w:uiPriority w:val="99"/>
    <w:rsid w:val="008C67FF"/>
    <w:rPr>
      <w:rFonts w:ascii="Times New Roman" w:eastAsia="Calibri" w:hAnsi="Times New Roman" w:cs="Times New Roman"/>
      <w:sz w:val="20"/>
      <w:szCs w:val="20"/>
    </w:rPr>
  </w:style>
  <w:style w:type="character" w:customStyle="1" w:styleId="authors">
    <w:name w:val="authors"/>
    <w:rsid w:val="008C67FF"/>
  </w:style>
  <w:style w:type="character" w:customStyle="1" w:styleId="Date1">
    <w:name w:val="Date1"/>
    <w:rsid w:val="008C67FF"/>
  </w:style>
  <w:style w:type="character" w:customStyle="1" w:styleId="arttitle">
    <w:name w:val="art_title"/>
    <w:rsid w:val="008C67FF"/>
  </w:style>
  <w:style w:type="character" w:customStyle="1" w:styleId="serialtitle">
    <w:name w:val="serial_title"/>
    <w:rsid w:val="008C67FF"/>
  </w:style>
  <w:style w:type="character" w:customStyle="1" w:styleId="volumeissue">
    <w:name w:val="volume_issue"/>
    <w:rsid w:val="008C67FF"/>
  </w:style>
  <w:style w:type="character" w:customStyle="1" w:styleId="pagerange">
    <w:name w:val="page_range"/>
    <w:rsid w:val="008C67FF"/>
  </w:style>
  <w:style w:type="character" w:customStyle="1" w:styleId="doilink">
    <w:name w:val="doi_link"/>
    <w:rsid w:val="008C67FF"/>
  </w:style>
  <w:style w:type="character" w:customStyle="1" w:styleId="st">
    <w:name w:val="st"/>
    <w:rsid w:val="008C67FF"/>
  </w:style>
  <w:style w:type="character" w:customStyle="1" w:styleId="nlmarticle-title">
    <w:name w:val="nlm_article-title"/>
    <w:rsid w:val="008C67FF"/>
  </w:style>
  <w:style w:type="character" w:customStyle="1" w:styleId="contribdegrees">
    <w:name w:val="contribdegrees"/>
    <w:rsid w:val="008C67FF"/>
  </w:style>
  <w:style w:type="character" w:customStyle="1" w:styleId="personname">
    <w:name w:val="person_name"/>
    <w:rsid w:val="008C67FF"/>
  </w:style>
  <w:style w:type="character" w:customStyle="1" w:styleId="hidden-xs">
    <w:name w:val="hidden-xs"/>
    <w:rsid w:val="008C67FF"/>
  </w:style>
  <w:style w:type="character" w:customStyle="1" w:styleId="nav-data">
    <w:name w:val="nav-data"/>
    <w:rsid w:val="008C67FF"/>
  </w:style>
  <w:style w:type="character" w:customStyle="1" w:styleId="off-screen">
    <w:name w:val="off-screen"/>
    <w:rsid w:val="008C67FF"/>
  </w:style>
  <w:style w:type="character" w:customStyle="1" w:styleId="at-icon-twitter">
    <w:name w:val="at-icon-twitter"/>
    <w:rsid w:val="008C67FF"/>
  </w:style>
  <w:style w:type="character" w:customStyle="1" w:styleId="at-icon-facebook">
    <w:name w:val="at-icon-facebook"/>
    <w:rsid w:val="008C67FF"/>
  </w:style>
  <w:style w:type="character" w:customStyle="1" w:styleId="at-icon-email">
    <w:name w:val="at-icon-email"/>
    <w:rsid w:val="008C67FF"/>
  </w:style>
  <w:style w:type="character" w:customStyle="1" w:styleId="at-icon-none">
    <w:name w:val="at-icon-none"/>
    <w:rsid w:val="008C67FF"/>
  </w:style>
  <w:style w:type="character" w:customStyle="1" w:styleId="at-icon-wrapper">
    <w:name w:val="at-icon-wrapper"/>
    <w:rsid w:val="008C67FF"/>
  </w:style>
  <w:style w:type="character" w:customStyle="1" w:styleId="icon-user">
    <w:name w:val="icon-user"/>
    <w:rsid w:val="008C67FF"/>
  </w:style>
  <w:style w:type="character" w:customStyle="1" w:styleId="loginseprator">
    <w:name w:val="loginseprator"/>
    <w:rsid w:val="008C67FF"/>
  </w:style>
  <w:style w:type="character" w:customStyle="1" w:styleId="cartitems">
    <w:name w:val="cartitems"/>
    <w:rsid w:val="008C67FF"/>
  </w:style>
  <w:style w:type="character" w:customStyle="1" w:styleId="z-TopofFormChar">
    <w:name w:val="z-Top of Form Char"/>
    <w:link w:val="z-TopofForm"/>
    <w:uiPriority w:val="99"/>
    <w:rsid w:val="008C67FF"/>
    <w:rPr>
      <w:rFonts w:ascii="Arial" w:eastAsia="Times New Roman" w:hAnsi="Arial" w:cs="Arial"/>
      <w:vanish/>
      <w:sz w:val="16"/>
      <w:szCs w:val="16"/>
    </w:rPr>
  </w:style>
  <w:style w:type="paragraph" w:styleId="z-TopofForm">
    <w:name w:val="HTML Top of Form"/>
    <w:basedOn w:val="Normal"/>
    <w:next w:val="Normal"/>
    <w:link w:val="z-TopofFormChar"/>
    <w:uiPriority w:val="99"/>
    <w:unhideWhenUsed/>
    <w:rsid w:val="008C67FF"/>
    <w:pPr>
      <w:pBdr>
        <w:bottom w:val="single" w:sz="6" w:space="1" w:color="auto"/>
      </w:pBdr>
      <w:spacing w:before="0" w:after="0"/>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8C67FF"/>
    <w:rPr>
      <w:rFonts w:ascii="Arial" w:hAnsi="Arial" w:cs="Arial"/>
      <w:vanish/>
      <w:sz w:val="16"/>
      <w:szCs w:val="16"/>
    </w:rPr>
  </w:style>
  <w:style w:type="character" w:customStyle="1" w:styleId="simplesearchboxcontainer">
    <w:name w:val="simplesearchboxcontainer"/>
    <w:rsid w:val="008C67FF"/>
  </w:style>
  <w:style w:type="character" w:customStyle="1" w:styleId="searchdropdowndivright">
    <w:name w:val="searchdropdowndivright"/>
    <w:rsid w:val="008C67FF"/>
  </w:style>
  <w:style w:type="character" w:customStyle="1" w:styleId="z-BottomofFormChar">
    <w:name w:val="z-Bottom of Form Char"/>
    <w:link w:val="z-BottomofForm"/>
    <w:uiPriority w:val="99"/>
    <w:rsid w:val="008C67FF"/>
    <w:rPr>
      <w:rFonts w:ascii="Arial" w:eastAsia="Times New Roman" w:hAnsi="Arial" w:cs="Arial"/>
      <w:vanish/>
      <w:sz w:val="16"/>
      <w:szCs w:val="16"/>
    </w:rPr>
  </w:style>
  <w:style w:type="paragraph" w:styleId="z-BottomofForm">
    <w:name w:val="HTML Bottom of Form"/>
    <w:basedOn w:val="Normal"/>
    <w:next w:val="Normal"/>
    <w:link w:val="z-BottomofFormChar"/>
    <w:uiPriority w:val="99"/>
    <w:unhideWhenUsed/>
    <w:rsid w:val="008C67FF"/>
    <w:pPr>
      <w:pBdr>
        <w:top w:val="single" w:sz="6" w:space="1" w:color="auto"/>
      </w:pBdr>
      <w:spacing w:before="0" w:after="0"/>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8C67FF"/>
    <w:rPr>
      <w:rFonts w:ascii="Arial" w:hAnsi="Arial" w:cs="Arial"/>
      <w:vanish/>
      <w:sz w:val="16"/>
      <w:szCs w:val="16"/>
    </w:rPr>
  </w:style>
  <w:style w:type="character" w:customStyle="1" w:styleId="quick-search-btn">
    <w:name w:val="quick-search-btn"/>
    <w:rsid w:val="008C67FF"/>
  </w:style>
  <w:style w:type="character" w:customStyle="1" w:styleId="journal-heading">
    <w:name w:val="journal-heading"/>
    <w:rsid w:val="008C67FF"/>
  </w:style>
  <w:style w:type="character" w:customStyle="1" w:styleId="issue-heading">
    <w:name w:val="issue-heading"/>
    <w:rsid w:val="008C67FF"/>
  </w:style>
  <w:style w:type="character" w:customStyle="1" w:styleId="metrics-score">
    <w:name w:val="metrics-score"/>
    <w:rsid w:val="008C67FF"/>
  </w:style>
  <w:style w:type="character" w:customStyle="1" w:styleId="rsbtnleft">
    <w:name w:val="rsbtn_left"/>
    <w:rsid w:val="008C67FF"/>
  </w:style>
  <w:style w:type="character" w:customStyle="1" w:styleId="rsbtntext">
    <w:name w:val="rsbtn_text"/>
    <w:rsid w:val="008C67FF"/>
  </w:style>
  <w:style w:type="character" w:customStyle="1" w:styleId="rsbtnbtnlabel">
    <w:name w:val="rsbtn_btnlabel"/>
    <w:rsid w:val="008C67FF"/>
  </w:style>
  <w:style w:type="character" w:customStyle="1" w:styleId="rsbtnright">
    <w:name w:val="rsbtn_right"/>
    <w:rsid w:val="008C67FF"/>
  </w:style>
  <w:style w:type="character" w:customStyle="1" w:styleId="nlmcontrib-group">
    <w:name w:val="nlm_contrib-group"/>
    <w:rsid w:val="008C67FF"/>
  </w:style>
  <w:style w:type="character" w:customStyle="1" w:styleId="Title1">
    <w:name w:val="Title1"/>
    <w:rsid w:val="008C67FF"/>
  </w:style>
  <w:style w:type="character" w:customStyle="1" w:styleId="sub-art-heading">
    <w:name w:val="sub-art-heading"/>
    <w:rsid w:val="008C67FF"/>
  </w:style>
  <w:style w:type="paragraph" w:customStyle="1" w:styleId="fulltext">
    <w:name w:val="fulltext"/>
    <w:basedOn w:val="Normal"/>
    <w:rsid w:val="008C67FF"/>
    <w:pPr>
      <w:spacing w:beforeAutospacing="1" w:afterAutospacing="1"/>
      <w:jc w:val="left"/>
    </w:pPr>
    <w:rPr>
      <w:rFonts w:eastAsia="Times New Roman" w:cs="Times New Roman"/>
      <w:szCs w:val="24"/>
    </w:rPr>
  </w:style>
  <w:style w:type="paragraph" w:customStyle="1" w:styleId="kwd-title">
    <w:name w:val="kwd-title"/>
    <w:basedOn w:val="Normal"/>
    <w:rsid w:val="008C67FF"/>
    <w:pPr>
      <w:spacing w:beforeAutospacing="1" w:afterAutospacing="1"/>
      <w:jc w:val="left"/>
    </w:pPr>
    <w:rPr>
      <w:rFonts w:eastAsia="Times New Roman" w:cs="Times New Roman"/>
      <w:szCs w:val="24"/>
    </w:rPr>
  </w:style>
  <w:style w:type="character" w:customStyle="1" w:styleId="bold">
    <w:name w:val="bold"/>
    <w:rsid w:val="008C67FF"/>
  </w:style>
  <w:style w:type="character" w:customStyle="1" w:styleId="ref-lnk">
    <w:name w:val="ref-lnk"/>
    <w:rsid w:val="008C67FF"/>
  </w:style>
  <w:style w:type="character" w:customStyle="1" w:styleId="captionlabel">
    <w:name w:val="captionlabel"/>
    <w:rsid w:val="008C67FF"/>
  </w:style>
  <w:style w:type="character" w:customStyle="1" w:styleId="nlmyear">
    <w:name w:val="nlm_year"/>
    <w:rsid w:val="008C67FF"/>
  </w:style>
  <w:style w:type="character" w:customStyle="1" w:styleId="reflink-block">
    <w:name w:val="reflink-block"/>
    <w:rsid w:val="008C67FF"/>
  </w:style>
  <w:style w:type="character" w:customStyle="1" w:styleId="xlinks-container">
    <w:name w:val="xlinks-container"/>
    <w:rsid w:val="008C67FF"/>
  </w:style>
  <w:style w:type="character" w:customStyle="1" w:styleId="googlescholar-container">
    <w:name w:val="googlescholar-container"/>
    <w:rsid w:val="008C67FF"/>
  </w:style>
  <w:style w:type="character" w:customStyle="1" w:styleId="nlmfpage">
    <w:name w:val="nlm_fpage"/>
    <w:rsid w:val="008C67FF"/>
  </w:style>
  <w:style w:type="character" w:customStyle="1" w:styleId="nlmlpage">
    <w:name w:val="nlm_lpage"/>
    <w:rsid w:val="008C67FF"/>
  </w:style>
  <w:style w:type="character" w:customStyle="1" w:styleId="nlmchapter-title">
    <w:name w:val="nlm_chapter-title"/>
    <w:rsid w:val="008C67FF"/>
  </w:style>
  <w:style w:type="character" w:customStyle="1" w:styleId="tooltip-collapse">
    <w:name w:val="tooltip-collapse"/>
    <w:rsid w:val="008C67FF"/>
  </w:style>
  <w:style w:type="character" w:customStyle="1" w:styleId="hlfld-title">
    <w:name w:val="hlfld-title"/>
    <w:rsid w:val="008C67FF"/>
  </w:style>
  <w:style w:type="character" w:customStyle="1" w:styleId="access-icon">
    <w:name w:val="access-icon"/>
    <w:rsid w:val="008C67FF"/>
  </w:style>
  <w:style w:type="character" w:customStyle="1" w:styleId="maintextleft">
    <w:name w:val="maintextleft"/>
    <w:rsid w:val="008C67FF"/>
  </w:style>
  <w:style w:type="paragraph" w:customStyle="1" w:styleId="message">
    <w:name w:val="message"/>
    <w:basedOn w:val="Normal"/>
    <w:rsid w:val="008C67FF"/>
    <w:pPr>
      <w:spacing w:beforeAutospacing="1" w:afterAutospacing="1"/>
      <w:jc w:val="left"/>
    </w:pPr>
    <w:rPr>
      <w:rFonts w:eastAsia="Times New Roman" w:cs="Times New Roman"/>
      <w:szCs w:val="24"/>
    </w:rPr>
  </w:style>
  <w:style w:type="character" w:customStyle="1" w:styleId="view-pdf-arrows">
    <w:name w:val="view-pdf-arrows"/>
    <w:rsid w:val="008C67FF"/>
  </w:style>
  <w:style w:type="character" w:customStyle="1" w:styleId="kx21rb">
    <w:name w:val="kx21rb"/>
    <w:rsid w:val="008C67FF"/>
  </w:style>
  <w:style w:type="character" w:customStyle="1" w:styleId="dyjrff">
    <w:name w:val="dyjrff"/>
    <w:rsid w:val="008C67FF"/>
  </w:style>
  <w:style w:type="character" w:customStyle="1" w:styleId="posted-on">
    <w:name w:val="posted-on"/>
    <w:rsid w:val="008C67FF"/>
  </w:style>
  <w:style w:type="character" w:customStyle="1" w:styleId="byline">
    <w:name w:val="byline"/>
    <w:rsid w:val="008C67FF"/>
  </w:style>
  <w:style w:type="character" w:customStyle="1" w:styleId="author-name">
    <w:name w:val="author-name"/>
    <w:rsid w:val="008C67FF"/>
  </w:style>
  <w:style w:type="paragraph" w:customStyle="1" w:styleId="p64x9c">
    <w:name w:val="p64x9c"/>
    <w:basedOn w:val="Normal"/>
    <w:rsid w:val="008C67FF"/>
    <w:pPr>
      <w:spacing w:beforeAutospacing="1" w:afterAutospacing="1"/>
      <w:jc w:val="left"/>
    </w:pPr>
    <w:rPr>
      <w:rFonts w:eastAsia="Times New Roman" w:cs="Times New Roman"/>
      <w:szCs w:val="24"/>
    </w:rPr>
  </w:style>
  <w:style w:type="character" w:customStyle="1" w:styleId="gl9hy">
    <w:name w:val="gl9hy"/>
    <w:rsid w:val="008C67FF"/>
  </w:style>
  <w:style w:type="character" w:customStyle="1" w:styleId="spellorig">
    <w:name w:val="spell_orig"/>
    <w:rsid w:val="008C67FF"/>
  </w:style>
  <w:style w:type="character" w:customStyle="1" w:styleId="highlight">
    <w:name w:val="highlight"/>
    <w:rsid w:val="008C67FF"/>
  </w:style>
  <w:style w:type="paragraph" w:customStyle="1" w:styleId="ql-align-justify">
    <w:name w:val="ql-align-justify"/>
    <w:basedOn w:val="Normal"/>
    <w:rsid w:val="008C67FF"/>
    <w:pPr>
      <w:spacing w:beforeAutospacing="1" w:afterAutospacing="1"/>
      <w:jc w:val="left"/>
    </w:pPr>
    <w:rPr>
      <w:rFonts w:eastAsia="Times New Roman" w:cs="Times New Roman"/>
      <w:szCs w:val="24"/>
    </w:rPr>
  </w:style>
  <w:style w:type="character" w:customStyle="1" w:styleId="a-list-item">
    <w:name w:val="a-list-item"/>
    <w:rsid w:val="008C67FF"/>
  </w:style>
  <w:style w:type="paragraph" w:customStyle="1" w:styleId="nova-legacy-e-listitem">
    <w:name w:val="nova-legacy-e-list__item"/>
    <w:basedOn w:val="Normal"/>
    <w:rsid w:val="008C67FF"/>
    <w:pPr>
      <w:spacing w:beforeAutospacing="1" w:afterAutospacing="1"/>
      <w:jc w:val="left"/>
    </w:pPr>
    <w:rPr>
      <w:rFonts w:eastAsia="Times New Roman" w:cs="Times New Roman"/>
      <w:szCs w:val="24"/>
    </w:rPr>
  </w:style>
  <w:style w:type="character" w:customStyle="1" w:styleId="cskcde">
    <w:name w:val="cskcde"/>
    <w:rsid w:val="008C67FF"/>
  </w:style>
  <w:style w:type="paragraph" w:customStyle="1" w:styleId="breadcrumb">
    <w:name w:val="breadcrumb"/>
    <w:basedOn w:val="Normal"/>
    <w:rsid w:val="008C67FF"/>
    <w:pPr>
      <w:spacing w:beforeAutospacing="1" w:afterAutospacing="1"/>
      <w:jc w:val="left"/>
    </w:pPr>
    <w:rPr>
      <w:rFonts w:eastAsia="Times New Roman" w:cs="Times New Roman"/>
      <w:szCs w:val="24"/>
    </w:rPr>
  </w:style>
  <w:style w:type="paragraph" w:customStyle="1" w:styleId="inline-promotion-text">
    <w:name w:val="inline-promotion-text"/>
    <w:basedOn w:val="Normal"/>
    <w:rsid w:val="008C67FF"/>
    <w:pPr>
      <w:spacing w:beforeAutospacing="1" w:afterAutospacing="1"/>
      <w:jc w:val="left"/>
    </w:pPr>
    <w:rPr>
      <w:rFonts w:eastAsia="Times New Roman" w:cs="Times New Roman"/>
      <w:szCs w:val="24"/>
    </w:rPr>
  </w:style>
  <w:style w:type="paragraph" w:customStyle="1" w:styleId="msonormal0">
    <w:name w:val="msonormal"/>
    <w:basedOn w:val="Normal"/>
    <w:rsid w:val="008C67FF"/>
    <w:pPr>
      <w:spacing w:beforeAutospacing="1" w:afterAutospacing="1"/>
      <w:jc w:val="left"/>
    </w:pPr>
    <w:rPr>
      <w:rFonts w:eastAsia="Times New Roman" w:cs="Times New Roman"/>
      <w:szCs w:val="24"/>
    </w:rPr>
  </w:style>
  <w:style w:type="table" w:customStyle="1" w:styleId="Grilledutableau1">
    <w:name w:val="Grille du tableau1"/>
    <w:basedOn w:val="TableNormal"/>
    <w:next w:val="TableGrid"/>
    <w:uiPriority w:val="39"/>
    <w:rsid w:val="005B43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DefaultParagraphFont"/>
    <w:uiPriority w:val="99"/>
    <w:semiHidden/>
    <w:unhideWhenUsed/>
    <w:qFormat/>
    <w:rsid w:val="00C845DB"/>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qFormat/>
    <w:rsid w:val="00C84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qFormat/>
    <w:rsid w:val="00C845DB"/>
    <w:rPr>
      <w:rFonts w:ascii="Courier New" w:eastAsia="Times New Roman" w:hAnsi="Courier New" w:cs="Courier New"/>
      <w:sz w:val="20"/>
      <w:szCs w:val="20"/>
    </w:rPr>
  </w:style>
  <w:style w:type="table" w:customStyle="1" w:styleId="APATable">
    <w:name w:val="APA Table"/>
    <w:basedOn w:val="TableNormal"/>
    <w:uiPriority w:val="99"/>
    <w:rsid w:val="00C845DB"/>
    <w:pPr>
      <w:spacing w:after="0" w:line="240" w:lineRule="auto"/>
    </w:pPr>
    <w:rPr>
      <w:rFonts w:ascii="Times New Roman" w:eastAsia="SimSun" w:hAnsi="Times New Roman" w:cs="Times New Roman"/>
      <w:sz w:val="24"/>
      <w:szCs w:val="20"/>
    </w:rPr>
    <w:tblPr>
      <w:tblBorders>
        <w:top w:val="single" w:sz="4" w:space="0" w:color="auto"/>
        <w:bottom w:val="single" w:sz="4" w:space="0" w:color="auto"/>
      </w:tblBorders>
    </w:tblPr>
  </w:style>
  <w:style w:type="character" w:customStyle="1" w:styleId="hljs-number">
    <w:name w:val="hljs-number"/>
    <w:basedOn w:val="DefaultParagraphFont"/>
    <w:rsid w:val="00C845DB"/>
  </w:style>
  <w:style w:type="character" w:customStyle="1" w:styleId="hljs-operator">
    <w:name w:val="hljs-operator"/>
    <w:basedOn w:val="DefaultParagraphFont"/>
    <w:rsid w:val="00C845DB"/>
  </w:style>
  <w:style w:type="character" w:customStyle="1" w:styleId="hljs-string">
    <w:name w:val="hljs-string"/>
    <w:basedOn w:val="DefaultParagraphFont"/>
    <w:rsid w:val="00C845DB"/>
  </w:style>
  <w:style w:type="character" w:customStyle="1" w:styleId="hscoswrapper">
    <w:name w:val="hs_cos_wrapper"/>
    <w:rsid w:val="004D6221"/>
  </w:style>
  <w:style w:type="character" w:customStyle="1" w:styleId="hyperlink0">
    <w:name w:val="hyperlink0"/>
    <w:basedOn w:val="DefaultParagraphFont"/>
    <w:rsid w:val="004D6221"/>
  </w:style>
  <w:style w:type="character" w:customStyle="1" w:styleId="jss690">
    <w:name w:val="jss690"/>
    <w:basedOn w:val="DefaultParagraphFont"/>
    <w:rsid w:val="004D6221"/>
  </w:style>
  <w:style w:type="character" w:customStyle="1" w:styleId="hlfld-abstract">
    <w:name w:val="hlfld-abstract"/>
    <w:basedOn w:val="DefaultParagraphFont"/>
    <w:rsid w:val="004D6221"/>
  </w:style>
  <w:style w:type="paragraph" w:customStyle="1" w:styleId="ListParagraph3">
    <w:name w:val="List Paragraph3"/>
    <w:basedOn w:val="Normal"/>
    <w:uiPriority w:val="99"/>
    <w:qFormat/>
    <w:rsid w:val="004D6221"/>
    <w:pPr>
      <w:spacing w:before="160" w:after="0" w:line="480" w:lineRule="auto"/>
      <w:ind w:left="720"/>
      <w:contextualSpacing/>
    </w:pPr>
    <w:rPr>
      <w:rFonts w:eastAsia="Calibri" w:cs="SimSun"/>
      <w:sz w:val="22"/>
    </w:rPr>
  </w:style>
  <w:style w:type="paragraph" w:customStyle="1" w:styleId="ListParagraph2">
    <w:name w:val="List Paragraph2"/>
    <w:basedOn w:val="Normal"/>
    <w:uiPriority w:val="99"/>
    <w:qFormat/>
    <w:rsid w:val="004D6221"/>
    <w:pPr>
      <w:spacing w:before="160" w:after="0" w:line="480" w:lineRule="auto"/>
      <w:ind w:left="720"/>
      <w:contextualSpacing/>
    </w:pPr>
    <w:rPr>
      <w:rFonts w:eastAsia="Calibri" w:cs="SimSun"/>
      <w:sz w:val="22"/>
    </w:rPr>
  </w:style>
  <w:style w:type="character" w:customStyle="1" w:styleId="A3">
    <w:name w:val="A3"/>
    <w:uiPriority w:val="99"/>
    <w:rsid w:val="004D6221"/>
    <w:rPr>
      <w:color w:val="000000"/>
      <w:sz w:val="19"/>
      <w:szCs w:val="19"/>
    </w:rPr>
  </w:style>
  <w:style w:type="character" w:customStyle="1" w:styleId="fontstyle21">
    <w:name w:val="fontstyle21"/>
    <w:basedOn w:val="DefaultParagraphFont"/>
    <w:rsid w:val="004D6221"/>
    <w:rPr>
      <w:rFonts w:ascii="Times New Roman" w:hAnsi="Times New Roman" w:cs="Times New Roman" w:hint="default"/>
      <w:b w:val="0"/>
      <w:bCs w:val="0"/>
      <w:i/>
      <w:iCs/>
      <w:color w:val="000000"/>
      <w:sz w:val="24"/>
      <w:szCs w:val="24"/>
    </w:rPr>
  </w:style>
  <w:style w:type="paragraph" w:customStyle="1" w:styleId="FIGURES">
    <w:name w:val="FIGURES"/>
    <w:basedOn w:val="Normal"/>
    <w:link w:val="FIGURESChar"/>
    <w:autoRedefine/>
    <w:rsid w:val="004D6221"/>
    <w:pPr>
      <w:spacing w:before="0" w:after="160"/>
      <w:contextualSpacing/>
    </w:pPr>
    <w:rPr>
      <w:rFonts w:eastAsia="Calibri" w:cs="Times New Roman"/>
      <w:b/>
      <w:color w:val="000000"/>
      <w:sz w:val="22"/>
      <w:szCs w:val="24"/>
    </w:rPr>
  </w:style>
  <w:style w:type="character" w:customStyle="1" w:styleId="FIGURESChar">
    <w:name w:val="FIGURES Char"/>
    <w:basedOn w:val="DefaultParagraphFont"/>
    <w:link w:val="FIGURES"/>
    <w:rsid w:val="004D6221"/>
    <w:rPr>
      <w:rFonts w:ascii="Times New Roman" w:eastAsia="Calibri" w:hAnsi="Times New Roman" w:cs="Times New Roman"/>
      <w:b/>
      <w:color w:val="000000"/>
      <w:szCs w:val="24"/>
    </w:rPr>
  </w:style>
  <w:style w:type="table" w:customStyle="1" w:styleId="ListTable6Colorful2">
    <w:name w:val="List Table 6 Colorful2"/>
    <w:basedOn w:val="TableNormal"/>
    <w:uiPriority w:val="51"/>
    <w:rsid w:val="004D6221"/>
    <w:pPr>
      <w:spacing w:after="0" w:line="240" w:lineRule="auto"/>
    </w:pPr>
    <w:rPr>
      <w:rFonts w:ascii="Times New Roman" w:hAnsi="Times New Roman" w:cstheme="minorHAnsi"/>
      <w:color w:val="000000" w:themeColor="text1"/>
      <w:sz w:val="24"/>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uiPriority w:val="51"/>
    <w:rsid w:val="004D6221"/>
    <w:pPr>
      <w:spacing w:after="0" w:line="240" w:lineRule="auto"/>
    </w:pPr>
    <w:rPr>
      <w:rFonts w:ascii="Times New Roman" w:hAnsi="Times New Roman" w:cstheme="minorHAnsi"/>
      <w:color w:val="000000" w:themeColor="text1"/>
      <w:sz w:val="24"/>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TextChar1">
    <w:name w:val="Comment Text Char1"/>
    <w:basedOn w:val="DefaultParagraphFont"/>
    <w:uiPriority w:val="99"/>
    <w:semiHidden/>
    <w:rsid w:val="004D6221"/>
    <w:rPr>
      <w:sz w:val="20"/>
      <w:szCs w:val="20"/>
    </w:rPr>
  </w:style>
  <w:style w:type="table" w:customStyle="1" w:styleId="PlainTable31">
    <w:name w:val="Plain Table 31"/>
    <w:basedOn w:val="TableNormal"/>
    <w:uiPriority w:val="43"/>
    <w:rsid w:val="004D6221"/>
    <w:pPr>
      <w:spacing w:after="0" w:line="240" w:lineRule="auto"/>
    </w:pPr>
    <w:rPr>
      <w:rFonts w:ascii="Times New Roman" w:hAnsi="Times New Roman" w:cstheme="minorHAnsi"/>
      <w:sz w:val="24"/>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14">
    <w:name w:val="Pa14"/>
    <w:basedOn w:val="Default"/>
    <w:next w:val="Default"/>
    <w:uiPriority w:val="99"/>
    <w:rsid w:val="004D6221"/>
  </w:style>
  <w:style w:type="table" w:styleId="GridTable2">
    <w:name w:val="Grid Table 2"/>
    <w:basedOn w:val="TableNormal"/>
    <w:uiPriority w:val="47"/>
    <w:rsid w:val="004D6221"/>
    <w:pPr>
      <w:spacing w:after="0" w:line="240" w:lineRule="auto"/>
    </w:pPr>
    <w:rPr>
      <w:rFonts w:ascii="Times New Roman" w:hAnsi="Times New Roman" w:cstheme="minorHAnsi"/>
      <w:sz w:val="24"/>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4D6221"/>
    <w:pPr>
      <w:spacing w:after="0" w:line="240" w:lineRule="auto"/>
    </w:pPr>
    <w:rPr>
      <w:rFonts w:ascii="Times New Roman" w:hAnsi="Times New Roman" w:cstheme="minorHAnsi"/>
      <w:sz w:val="24"/>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4D6221"/>
    <w:pPr>
      <w:spacing w:after="0" w:line="240" w:lineRule="auto"/>
    </w:pPr>
    <w:rPr>
      <w:rFonts w:ascii="Times New Roman" w:hAnsi="Times New Roman" w:cstheme="minorHAnsi"/>
      <w:sz w:val="24"/>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4D6221"/>
    <w:pPr>
      <w:spacing w:after="0" w:line="240" w:lineRule="auto"/>
    </w:pPr>
    <w:rPr>
      <w:rFonts w:ascii="Times New Roman" w:hAnsi="Times New Roman" w:cstheme="minorHAnsi"/>
      <w:sz w:val="24"/>
      <w:szCs w:val="20"/>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3">
    <w:name w:val="Grid Table 1 Light Accent 3"/>
    <w:basedOn w:val="TableNormal"/>
    <w:uiPriority w:val="46"/>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6Colorful-Accent1">
    <w:name w:val="Grid Table 6 Colorful Accent 1"/>
    <w:basedOn w:val="TableNormal"/>
    <w:uiPriority w:val="51"/>
    <w:rsid w:val="004D6221"/>
    <w:pPr>
      <w:spacing w:after="0" w:line="240" w:lineRule="auto"/>
    </w:pPr>
    <w:rPr>
      <w:rFonts w:ascii="Times New Roman" w:hAnsi="Times New Roman" w:cstheme="minorHAnsi"/>
      <w:color w:val="2E74B5" w:themeColor="accent1" w:themeShade="BF"/>
      <w:sz w:val="24"/>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PlainTable1">
    <w:name w:val="Plain Table 1"/>
    <w:basedOn w:val="TableNormal"/>
    <w:uiPriority w:val="41"/>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stTable3">
    <w:name w:val="List Table 3"/>
    <w:basedOn w:val="TableNormal"/>
    <w:uiPriority w:val="48"/>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ame2">
    <w:name w:val="name2"/>
    <w:basedOn w:val="DefaultParagraphFont"/>
    <w:rsid w:val="004D6221"/>
  </w:style>
  <w:style w:type="table" w:styleId="ListTable2">
    <w:name w:val="List Table 2"/>
    <w:basedOn w:val="TableNormal"/>
    <w:uiPriority w:val="47"/>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3">
    <w:name w:val="List Table 2 Accent 3"/>
    <w:basedOn w:val="TableNormal"/>
    <w:uiPriority w:val="47"/>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fc0">
    <w:name w:val="fc0"/>
    <w:basedOn w:val="DefaultParagraphFont"/>
    <w:rsid w:val="004D6221"/>
  </w:style>
  <w:style w:type="table" w:styleId="ListTable6Colorful">
    <w:name w:val="List Table 6 Colorful"/>
    <w:basedOn w:val="TableNormal"/>
    <w:uiPriority w:val="51"/>
    <w:rsid w:val="004D6221"/>
    <w:pPr>
      <w:spacing w:after="0" w:line="240" w:lineRule="auto"/>
    </w:pPr>
    <w:rPr>
      <w:rFonts w:ascii="Times New Roman" w:hAnsi="Times New Roman" w:cstheme="minorHAnsi"/>
      <w:color w:val="000000" w:themeColor="text1"/>
      <w:sz w:val="24"/>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4D6221"/>
    <w:rPr>
      <w:color w:val="605E5C"/>
      <w:shd w:val="clear" w:color="auto" w:fill="E1DFDD"/>
    </w:rPr>
  </w:style>
  <w:style w:type="table" w:customStyle="1" w:styleId="ListTable6Colorful3">
    <w:name w:val="List Table 6 Colorful3"/>
    <w:basedOn w:val="TableNormal"/>
    <w:next w:val="ListTable6Colorful"/>
    <w:uiPriority w:val="51"/>
    <w:rsid w:val="004D6221"/>
    <w:pPr>
      <w:spacing w:after="0" w:line="240" w:lineRule="auto"/>
    </w:pPr>
    <w:rPr>
      <w:rFonts w:ascii="Times New Roman" w:hAnsi="Times New Roman" w:cstheme="minorHAnsi"/>
      <w:color w:val="000000" w:themeColor="text1"/>
      <w:sz w:val="24"/>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1">
    <w:name w:val="Grid Table 21"/>
    <w:basedOn w:val="TableNormal"/>
    <w:next w:val="GridTable2"/>
    <w:uiPriority w:val="47"/>
    <w:rsid w:val="004D6221"/>
    <w:pPr>
      <w:spacing w:after="0" w:line="240" w:lineRule="auto"/>
    </w:pPr>
    <w:rPr>
      <w:rFonts w:ascii="Times New Roman" w:hAnsi="Times New Roman" w:cstheme="minorHAnsi"/>
      <w:sz w:val="24"/>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andard">
    <w:name w:val="Standard"/>
    <w:rsid w:val="004D6221"/>
    <w:pPr>
      <w:suppressAutoHyphens/>
      <w:autoSpaceDN w:val="0"/>
      <w:spacing w:before="120" w:after="120" w:line="480" w:lineRule="auto"/>
      <w:jc w:val="both"/>
      <w:textAlignment w:val="baseline"/>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qFormat/>
    <w:rsid w:val="004D6221"/>
    <w:pPr>
      <w:widowControl w:val="0"/>
      <w:suppressAutoHyphens/>
      <w:autoSpaceDN w:val="0"/>
      <w:spacing w:after="0" w:line="240" w:lineRule="auto"/>
      <w:textAlignment w:val="baseline"/>
    </w:pPr>
    <w:rPr>
      <w:rFonts w:ascii="Calibri" w:eastAsia="Calibri" w:hAnsi="Calibri" w:cs="F"/>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3">
    <w:name w:val="List Table 6 Colorful Accent 3"/>
    <w:basedOn w:val="TableNormal"/>
    <w:uiPriority w:val="51"/>
    <w:rsid w:val="004D6221"/>
    <w:pPr>
      <w:spacing w:after="0" w:line="240" w:lineRule="auto"/>
    </w:pPr>
    <w:rPr>
      <w:rFonts w:ascii="Times New Roman" w:hAnsi="Times New Roman" w:cstheme="minorHAnsi"/>
      <w:color w:val="7B7B7B" w:themeColor="accent3" w:themeShade="BF"/>
      <w:sz w:val="24"/>
      <w:szCs w:val="20"/>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12">
    <w:name w:val="List Table 6 Colorful12"/>
    <w:basedOn w:val="TableNormal"/>
    <w:uiPriority w:val="51"/>
    <w:rsid w:val="004D6221"/>
    <w:pPr>
      <w:spacing w:after="0" w:line="240" w:lineRule="auto"/>
    </w:pPr>
    <w:rPr>
      <w:rFonts w:ascii="Times New Roman" w:hAnsi="Times New Roman" w:cstheme="minorHAnsi"/>
      <w:color w:val="000000" w:themeColor="text1"/>
      <w:sz w:val="24"/>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1">
    <w:name w:val="List Table 6 Colorful111"/>
    <w:basedOn w:val="TableNormal"/>
    <w:uiPriority w:val="51"/>
    <w:rsid w:val="004D6221"/>
    <w:pPr>
      <w:spacing w:after="0" w:line="240" w:lineRule="auto"/>
    </w:pPr>
    <w:rPr>
      <w:rFonts w:ascii="Times New Roman" w:hAnsi="Times New Roman" w:cstheme="minorHAnsi"/>
      <w:color w:val="000000" w:themeColor="text1"/>
      <w:sz w:val="24"/>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3">
    <w:name w:val="Table Grid3"/>
    <w:basedOn w:val="TableNormal"/>
    <w:next w:val="TableGrid"/>
    <w:uiPriority w:val="59"/>
    <w:qFormat/>
    <w:rsid w:val="004D6221"/>
    <w:pPr>
      <w:spacing w:after="0" w:line="240" w:lineRule="auto"/>
    </w:pPr>
    <w:rPr>
      <w:rFonts w:ascii="Times New Roman" w:hAnsi="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21">
    <w:name w:val="List Table 6 Colorful21"/>
    <w:basedOn w:val="TableNormal"/>
    <w:uiPriority w:val="51"/>
    <w:rsid w:val="004D6221"/>
    <w:pPr>
      <w:spacing w:after="0" w:line="240" w:lineRule="auto"/>
    </w:pPr>
    <w:rPr>
      <w:rFonts w:ascii="Times New Roman" w:hAnsi="Times New Roman" w:cstheme="minorHAnsi"/>
      <w:color w:val="000000" w:themeColor="text1"/>
      <w:sz w:val="24"/>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311">
    <w:name w:val="Plain Table 311"/>
    <w:basedOn w:val="TableNormal"/>
    <w:uiPriority w:val="43"/>
    <w:rsid w:val="004D6221"/>
    <w:pPr>
      <w:spacing w:after="0" w:line="240" w:lineRule="auto"/>
    </w:pPr>
    <w:rPr>
      <w:rFonts w:ascii="Times New Roman" w:hAnsi="Times New Roman" w:cstheme="minorHAnsi"/>
      <w:sz w:val="24"/>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21">
    <w:name w:val="Table Grid21"/>
    <w:basedOn w:val="TableNormal"/>
    <w:next w:val="TableGrid"/>
    <w:uiPriority w:val="59"/>
    <w:rsid w:val="004D6221"/>
    <w:pPr>
      <w:spacing w:after="0" w:line="240" w:lineRule="auto"/>
    </w:pPr>
    <w:rPr>
      <w:rFonts w:ascii="Times New Roman" w:hAnsi="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2">
    <w:name w:val="Grid Table 22"/>
    <w:basedOn w:val="TableNormal"/>
    <w:next w:val="GridTable2"/>
    <w:uiPriority w:val="47"/>
    <w:rsid w:val="004D6221"/>
    <w:pPr>
      <w:spacing w:after="0" w:line="240" w:lineRule="auto"/>
    </w:pPr>
    <w:rPr>
      <w:rFonts w:ascii="Times New Roman" w:hAnsi="Times New Roman" w:cstheme="minorHAnsi"/>
      <w:sz w:val="24"/>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41">
    <w:name w:val="Plain Table 41"/>
    <w:basedOn w:val="TableNormal"/>
    <w:next w:val="PlainTable4"/>
    <w:uiPriority w:val="44"/>
    <w:rsid w:val="004D6221"/>
    <w:pPr>
      <w:spacing w:after="0" w:line="240" w:lineRule="auto"/>
    </w:pPr>
    <w:rPr>
      <w:rFonts w:ascii="Times New Roman" w:hAnsi="Times New Roman" w:cstheme="minorHAnsi"/>
      <w:sz w:val="24"/>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1">
    <w:name w:val="Grid Table 41"/>
    <w:basedOn w:val="TableNormal"/>
    <w:next w:val="GridTable4"/>
    <w:uiPriority w:val="49"/>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next w:val="GridTable2-Accent1"/>
    <w:uiPriority w:val="47"/>
    <w:rsid w:val="004D6221"/>
    <w:pPr>
      <w:spacing w:after="0" w:line="240" w:lineRule="auto"/>
    </w:pPr>
    <w:rPr>
      <w:rFonts w:ascii="Times New Roman" w:hAnsi="Times New Roman" w:cstheme="minorHAnsi"/>
      <w:sz w:val="24"/>
      <w:szCs w:val="20"/>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1Light-Accent31">
    <w:name w:val="Grid Table 1 Light - Accent 31"/>
    <w:basedOn w:val="TableNormal"/>
    <w:next w:val="GridTable1Light-Accent3"/>
    <w:uiPriority w:val="46"/>
    <w:qFormat/>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6Colorful-Accent11">
    <w:name w:val="Grid Table 6 Colorful - Accent 11"/>
    <w:basedOn w:val="TableNormal"/>
    <w:next w:val="GridTable6Colorful-Accent1"/>
    <w:uiPriority w:val="51"/>
    <w:rsid w:val="004D6221"/>
    <w:pPr>
      <w:spacing w:after="0" w:line="240" w:lineRule="auto"/>
    </w:pPr>
    <w:rPr>
      <w:rFonts w:ascii="Times New Roman" w:hAnsi="Times New Roman" w:cstheme="minorHAnsi"/>
      <w:color w:val="2E74B5" w:themeColor="accent1" w:themeShade="BF"/>
      <w:sz w:val="24"/>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PlainTable11">
    <w:name w:val="Plain Table 11"/>
    <w:basedOn w:val="TableNormal"/>
    <w:next w:val="PlainTable1"/>
    <w:uiPriority w:val="41"/>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1">
    <w:name w:val="Grid Table 1 Light - Accent 11"/>
    <w:basedOn w:val="TableNormal"/>
    <w:next w:val="GridTable1Light-Accent1"/>
    <w:uiPriority w:val="46"/>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istTable31">
    <w:name w:val="List Table 31"/>
    <w:basedOn w:val="TableNormal"/>
    <w:next w:val="ListTable3"/>
    <w:uiPriority w:val="48"/>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21">
    <w:name w:val="List Table 21"/>
    <w:basedOn w:val="TableNormal"/>
    <w:next w:val="ListTable2"/>
    <w:uiPriority w:val="47"/>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31">
    <w:name w:val="List Table 2 - Accent 31"/>
    <w:basedOn w:val="TableNormal"/>
    <w:next w:val="ListTable2-Accent3"/>
    <w:uiPriority w:val="47"/>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0">
    <w:name w:val="TableGrid1"/>
    <w:rsid w:val="004D6221"/>
    <w:pPr>
      <w:spacing w:after="0" w:line="240" w:lineRule="auto"/>
    </w:pPr>
    <w:rPr>
      <w:rFonts w:ascii="Times New Roman" w:eastAsiaTheme="minorEastAsia" w:hAnsi="Times New Roman" w:cstheme="minorHAnsi"/>
      <w:sz w:val="24"/>
      <w:szCs w:val="20"/>
    </w:rPr>
    <w:tblPr>
      <w:tblCellMar>
        <w:top w:w="0" w:type="dxa"/>
        <w:left w:w="0" w:type="dxa"/>
        <w:bottom w:w="0" w:type="dxa"/>
        <w:right w:w="0" w:type="dxa"/>
      </w:tblCellMar>
    </w:tblPr>
  </w:style>
  <w:style w:type="table" w:customStyle="1" w:styleId="PlainTable21">
    <w:name w:val="Plain Table 21"/>
    <w:basedOn w:val="TableNormal"/>
    <w:next w:val="PlainTable2"/>
    <w:uiPriority w:val="42"/>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4">
    <w:name w:val="List Table 6 Colorful4"/>
    <w:basedOn w:val="TableNormal"/>
    <w:next w:val="ListTable6Colorful"/>
    <w:uiPriority w:val="51"/>
    <w:rsid w:val="004D6221"/>
    <w:pPr>
      <w:spacing w:after="0" w:line="240" w:lineRule="auto"/>
    </w:pPr>
    <w:rPr>
      <w:rFonts w:ascii="Times New Roman" w:hAnsi="Times New Roman" w:cstheme="minorHAnsi"/>
      <w:color w:val="000000" w:themeColor="text1"/>
      <w:sz w:val="24"/>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31">
    <w:name w:val="List Table 6 Colorful31"/>
    <w:basedOn w:val="TableNormal"/>
    <w:next w:val="ListTable6Colorful"/>
    <w:uiPriority w:val="51"/>
    <w:rsid w:val="004D6221"/>
    <w:pPr>
      <w:spacing w:after="0" w:line="240" w:lineRule="auto"/>
    </w:pPr>
    <w:rPr>
      <w:rFonts w:ascii="Times New Roman" w:hAnsi="Times New Roman" w:cstheme="minorHAnsi"/>
      <w:color w:val="000000" w:themeColor="text1"/>
      <w:sz w:val="24"/>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11">
    <w:name w:val="Grid Table 211"/>
    <w:basedOn w:val="TableNormal"/>
    <w:next w:val="GridTable2"/>
    <w:uiPriority w:val="47"/>
    <w:rsid w:val="004D6221"/>
    <w:pPr>
      <w:spacing w:after="0" w:line="240" w:lineRule="auto"/>
    </w:pPr>
    <w:rPr>
      <w:rFonts w:ascii="Times New Roman" w:hAnsi="Times New Roman" w:cstheme="minorHAnsi"/>
      <w:sz w:val="24"/>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1">
    <w:name w:val="Table Grid11"/>
    <w:basedOn w:val="TableNormal"/>
    <w:next w:val="TableGrid"/>
    <w:uiPriority w:val="59"/>
    <w:rsid w:val="004D6221"/>
    <w:pPr>
      <w:widowControl w:val="0"/>
      <w:suppressAutoHyphens/>
      <w:autoSpaceDN w:val="0"/>
      <w:spacing w:after="0" w:line="240" w:lineRule="auto"/>
      <w:textAlignment w:val="baseline"/>
    </w:pPr>
    <w:rPr>
      <w:rFonts w:ascii="Calibri" w:eastAsia="Calibri" w:hAnsi="Calibri" w:cs="F"/>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31">
    <w:name w:val="List Table 6 Colorful - Accent 31"/>
    <w:basedOn w:val="TableNormal"/>
    <w:next w:val="ListTable6Colorful-Accent3"/>
    <w:uiPriority w:val="51"/>
    <w:rsid w:val="004D6221"/>
    <w:pPr>
      <w:spacing w:after="0" w:line="240" w:lineRule="auto"/>
    </w:pPr>
    <w:rPr>
      <w:rFonts w:ascii="Times New Roman" w:hAnsi="Times New Roman" w:cstheme="minorHAnsi"/>
      <w:color w:val="7B7B7B" w:themeColor="accent3" w:themeShade="BF"/>
      <w:sz w:val="24"/>
      <w:szCs w:val="20"/>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4">
    <w:name w:val="Unresolved Mention4"/>
    <w:basedOn w:val="DefaultParagraphFont"/>
    <w:uiPriority w:val="99"/>
    <w:semiHidden/>
    <w:unhideWhenUsed/>
    <w:rsid w:val="004D6221"/>
    <w:rPr>
      <w:color w:val="605E5C"/>
      <w:shd w:val="clear" w:color="auto" w:fill="E1DFDD"/>
    </w:rPr>
  </w:style>
  <w:style w:type="table" w:customStyle="1" w:styleId="TableGrid4">
    <w:name w:val="Table Grid4"/>
    <w:basedOn w:val="TableNormal"/>
    <w:next w:val="TableGrid"/>
    <w:uiPriority w:val="59"/>
    <w:qFormat/>
    <w:rsid w:val="004D6221"/>
    <w:pPr>
      <w:spacing w:after="0" w:line="240" w:lineRule="auto"/>
    </w:pPr>
    <w:rPr>
      <w:rFonts w:ascii="Times New Roman" w:hAnsi="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D6221"/>
  </w:style>
  <w:style w:type="numbering" w:customStyle="1" w:styleId="NoList11">
    <w:name w:val="No List11"/>
    <w:next w:val="NoList"/>
    <w:uiPriority w:val="99"/>
    <w:semiHidden/>
    <w:unhideWhenUsed/>
    <w:rsid w:val="004D6221"/>
  </w:style>
  <w:style w:type="numbering" w:customStyle="1" w:styleId="NoList2">
    <w:name w:val="No List2"/>
    <w:next w:val="NoList"/>
    <w:uiPriority w:val="99"/>
    <w:semiHidden/>
    <w:unhideWhenUsed/>
    <w:rsid w:val="004D6221"/>
  </w:style>
  <w:style w:type="table" w:customStyle="1" w:styleId="ListTable6Colorful13">
    <w:name w:val="List Table 6 Colorful13"/>
    <w:basedOn w:val="TableNormal"/>
    <w:uiPriority w:val="51"/>
    <w:rsid w:val="004D6221"/>
    <w:pPr>
      <w:spacing w:after="0" w:line="240" w:lineRule="auto"/>
    </w:pPr>
    <w:rPr>
      <w:rFonts w:ascii="Times New Roman" w:hAnsi="Times New Roman" w:cstheme="minorHAnsi"/>
      <w:color w:val="000000" w:themeColor="text1"/>
      <w:sz w:val="24"/>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2">
    <w:name w:val="List Table 6 Colorful112"/>
    <w:basedOn w:val="TableNormal"/>
    <w:uiPriority w:val="51"/>
    <w:rsid w:val="004D6221"/>
    <w:pPr>
      <w:spacing w:after="0" w:line="240" w:lineRule="auto"/>
    </w:pPr>
    <w:rPr>
      <w:rFonts w:ascii="Times New Roman" w:hAnsi="Times New Roman" w:cstheme="minorHAnsi"/>
      <w:color w:val="000000" w:themeColor="text1"/>
      <w:sz w:val="24"/>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2">
    <w:name w:val="List Table 6 Colorful22"/>
    <w:basedOn w:val="TableNormal"/>
    <w:uiPriority w:val="51"/>
    <w:rsid w:val="004D6221"/>
    <w:pPr>
      <w:spacing w:after="0" w:line="240" w:lineRule="auto"/>
    </w:pPr>
    <w:rPr>
      <w:rFonts w:ascii="Times New Roman" w:hAnsi="Times New Roman" w:cstheme="minorHAnsi"/>
      <w:color w:val="000000" w:themeColor="text1"/>
      <w:sz w:val="24"/>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312">
    <w:name w:val="Plain Table 312"/>
    <w:basedOn w:val="TableNormal"/>
    <w:uiPriority w:val="43"/>
    <w:rsid w:val="004D6221"/>
    <w:pPr>
      <w:spacing w:after="0" w:line="240" w:lineRule="auto"/>
    </w:pPr>
    <w:rPr>
      <w:rFonts w:ascii="Times New Roman" w:hAnsi="Times New Roman" w:cstheme="minorHAnsi"/>
      <w:sz w:val="24"/>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22">
    <w:name w:val="Table Grid22"/>
    <w:basedOn w:val="TableNormal"/>
    <w:next w:val="TableGrid"/>
    <w:uiPriority w:val="59"/>
    <w:rsid w:val="004D6221"/>
    <w:pPr>
      <w:spacing w:after="0" w:line="240" w:lineRule="auto"/>
    </w:pPr>
    <w:rPr>
      <w:rFonts w:ascii="Times New Roman" w:hAnsi="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3">
    <w:name w:val="Grid Table 23"/>
    <w:basedOn w:val="TableNormal"/>
    <w:next w:val="GridTable2"/>
    <w:uiPriority w:val="47"/>
    <w:rsid w:val="004D6221"/>
    <w:pPr>
      <w:spacing w:after="0" w:line="240" w:lineRule="auto"/>
    </w:pPr>
    <w:rPr>
      <w:rFonts w:ascii="Times New Roman" w:hAnsi="Times New Roman" w:cstheme="minorHAnsi"/>
      <w:sz w:val="24"/>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42">
    <w:name w:val="Plain Table 42"/>
    <w:basedOn w:val="TableNormal"/>
    <w:next w:val="PlainTable4"/>
    <w:uiPriority w:val="44"/>
    <w:rsid w:val="004D6221"/>
    <w:pPr>
      <w:spacing w:after="0" w:line="240" w:lineRule="auto"/>
    </w:pPr>
    <w:rPr>
      <w:rFonts w:ascii="Times New Roman" w:hAnsi="Times New Roman" w:cstheme="minorHAnsi"/>
      <w:sz w:val="24"/>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2">
    <w:name w:val="Grid Table 42"/>
    <w:basedOn w:val="TableNormal"/>
    <w:next w:val="GridTable4"/>
    <w:uiPriority w:val="49"/>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2">
    <w:name w:val="Table Grid Light2"/>
    <w:basedOn w:val="TableNormal"/>
    <w:next w:val="TableGridLight"/>
    <w:uiPriority w:val="40"/>
    <w:rsid w:val="004D6221"/>
    <w:pPr>
      <w:spacing w:after="0" w:line="240" w:lineRule="auto"/>
    </w:pPr>
    <w:rPr>
      <w:rFonts w:ascii="Times New Roman" w:hAnsi="Times New Roman" w:cstheme="minorHAnsi"/>
      <w:sz w:val="24"/>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12">
    <w:name w:val="Grid Table 2 - Accent 12"/>
    <w:basedOn w:val="TableNormal"/>
    <w:next w:val="GridTable2-Accent1"/>
    <w:uiPriority w:val="47"/>
    <w:rsid w:val="004D6221"/>
    <w:pPr>
      <w:spacing w:after="0" w:line="240" w:lineRule="auto"/>
    </w:pPr>
    <w:rPr>
      <w:rFonts w:ascii="Times New Roman" w:hAnsi="Times New Roman" w:cstheme="minorHAnsi"/>
      <w:sz w:val="24"/>
      <w:szCs w:val="20"/>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1Light-Accent32">
    <w:name w:val="Grid Table 1 Light - Accent 32"/>
    <w:basedOn w:val="TableNormal"/>
    <w:next w:val="GridTable1Light-Accent3"/>
    <w:uiPriority w:val="46"/>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6Colorful-Accent12">
    <w:name w:val="Grid Table 6 Colorful - Accent 12"/>
    <w:basedOn w:val="TableNormal"/>
    <w:next w:val="GridTable6Colorful-Accent1"/>
    <w:uiPriority w:val="51"/>
    <w:rsid w:val="004D6221"/>
    <w:pPr>
      <w:spacing w:after="0" w:line="240" w:lineRule="auto"/>
    </w:pPr>
    <w:rPr>
      <w:rFonts w:ascii="Times New Roman" w:hAnsi="Times New Roman" w:cstheme="minorHAnsi"/>
      <w:color w:val="2E74B5" w:themeColor="accent1" w:themeShade="BF"/>
      <w:sz w:val="24"/>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PlainTable12">
    <w:name w:val="Plain Table 12"/>
    <w:basedOn w:val="TableNormal"/>
    <w:next w:val="PlainTable1"/>
    <w:uiPriority w:val="41"/>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2">
    <w:name w:val="Grid Table 1 Light - Accent 12"/>
    <w:basedOn w:val="TableNormal"/>
    <w:next w:val="GridTable1Light-Accent1"/>
    <w:uiPriority w:val="46"/>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istTable32">
    <w:name w:val="List Table 32"/>
    <w:basedOn w:val="TableNormal"/>
    <w:next w:val="ListTable3"/>
    <w:uiPriority w:val="48"/>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22">
    <w:name w:val="List Table 22"/>
    <w:basedOn w:val="TableNormal"/>
    <w:next w:val="ListTable2"/>
    <w:uiPriority w:val="47"/>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32">
    <w:name w:val="List Table 2 - Accent 32"/>
    <w:basedOn w:val="TableNormal"/>
    <w:next w:val="ListTable2-Accent3"/>
    <w:uiPriority w:val="47"/>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20">
    <w:name w:val="TableGrid2"/>
    <w:rsid w:val="004D6221"/>
    <w:pPr>
      <w:spacing w:after="0" w:line="240" w:lineRule="auto"/>
    </w:pPr>
    <w:rPr>
      <w:rFonts w:ascii="Times New Roman" w:eastAsiaTheme="minorEastAsia" w:hAnsi="Times New Roman" w:cstheme="minorHAnsi"/>
      <w:sz w:val="24"/>
      <w:szCs w:val="20"/>
    </w:rPr>
    <w:tblPr>
      <w:tblCellMar>
        <w:top w:w="0" w:type="dxa"/>
        <w:left w:w="0" w:type="dxa"/>
        <w:bottom w:w="0" w:type="dxa"/>
        <w:right w:w="0" w:type="dxa"/>
      </w:tblCellMar>
    </w:tblPr>
  </w:style>
  <w:style w:type="table" w:customStyle="1" w:styleId="PlainTable22">
    <w:name w:val="Plain Table 22"/>
    <w:basedOn w:val="TableNormal"/>
    <w:next w:val="PlainTable2"/>
    <w:uiPriority w:val="42"/>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5">
    <w:name w:val="List Table 6 Colorful5"/>
    <w:basedOn w:val="TableNormal"/>
    <w:next w:val="ListTable6Colorful"/>
    <w:uiPriority w:val="51"/>
    <w:rsid w:val="004D6221"/>
    <w:pPr>
      <w:spacing w:after="0" w:line="240" w:lineRule="auto"/>
    </w:pPr>
    <w:rPr>
      <w:rFonts w:ascii="Times New Roman" w:hAnsi="Times New Roman" w:cstheme="minorHAnsi"/>
      <w:color w:val="000000" w:themeColor="text1"/>
      <w:sz w:val="24"/>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32">
    <w:name w:val="List Table 6 Colorful32"/>
    <w:basedOn w:val="TableNormal"/>
    <w:next w:val="ListTable6Colorful"/>
    <w:uiPriority w:val="51"/>
    <w:rsid w:val="004D6221"/>
    <w:pPr>
      <w:spacing w:after="0" w:line="240" w:lineRule="auto"/>
    </w:pPr>
    <w:rPr>
      <w:rFonts w:ascii="Times New Roman" w:hAnsi="Times New Roman" w:cstheme="minorHAnsi"/>
      <w:color w:val="000000" w:themeColor="text1"/>
      <w:sz w:val="24"/>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12">
    <w:name w:val="Grid Table 212"/>
    <w:basedOn w:val="TableNormal"/>
    <w:next w:val="GridTable2"/>
    <w:uiPriority w:val="47"/>
    <w:rsid w:val="004D6221"/>
    <w:pPr>
      <w:spacing w:after="0" w:line="240" w:lineRule="auto"/>
    </w:pPr>
    <w:rPr>
      <w:rFonts w:ascii="Times New Roman" w:hAnsi="Times New Roman" w:cstheme="minorHAnsi"/>
      <w:sz w:val="24"/>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2">
    <w:name w:val="Table Grid12"/>
    <w:basedOn w:val="TableNormal"/>
    <w:next w:val="TableGrid"/>
    <w:uiPriority w:val="39"/>
    <w:rsid w:val="004D6221"/>
    <w:pPr>
      <w:widowControl w:val="0"/>
      <w:suppressAutoHyphens/>
      <w:autoSpaceDN w:val="0"/>
      <w:spacing w:after="0" w:line="240" w:lineRule="auto"/>
      <w:textAlignment w:val="baseline"/>
    </w:pPr>
    <w:rPr>
      <w:rFonts w:ascii="Calibri" w:eastAsia="Calibri" w:hAnsi="Calibri" w:cs="F"/>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32">
    <w:name w:val="List Table 6 Colorful - Accent 32"/>
    <w:basedOn w:val="TableNormal"/>
    <w:next w:val="ListTable6Colorful-Accent3"/>
    <w:uiPriority w:val="51"/>
    <w:rsid w:val="004D6221"/>
    <w:pPr>
      <w:spacing w:after="0" w:line="240" w:lineRule="auto"/>
    </w:pPr>
    <w:rPr>
      <w:rFonts w:ascii="Times New Roman" w:hAnsi="Times New Roman" w:cstheme="minorHAnsi"/>
      <w:color w:val="7B7B7B" w:themeColor="accent3" w:themeShade="BF"/>
      <w:sz w:val="24"/>
      <w:szCs w:val="20"/>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NoList12">
    <w:name w:val="No List12"/>
    <w:next w:val="NoList"/>
    <w:uiPriority w:val="99"/>
    <w:semiHidden/>
    <w:unhideWhenUsed/>
    <w:rsid w:val="004D6221"/>
  </w:style>
  <w:style w:type="table" w:customStyle="1" w:styleId="ListTable6Colorful121">
    <w:name w:val="List Table 6 Colorful121"/>
    <w:basedOn w:val="TableNormal"/>
    <w:uiPriority w:val="51"/>
    <w:rsid w:val="004D6221"/>
    <w:pPr>
      <w:spacing w:after="0" w:line="240" w:lineRule="auto"/>
    </w:pPr>
    <w:rPr>
      <w:rFonts w:ascii="Times New Roman" w:hAnsi="Times New Roman" w:cstheme="minorHAnsi"/>
      <w:color w:val="000000" w:themeColor="text1"/>
      <w:sz w:val="24"/>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11">
    <w:name w:val="List Table 6 Colorful1111"/>
    <w:basedOn w:val="TableNormal"/>
    <w:uiPriority w:val="51"/>
    <w:rsid w:val="004D6221"/>
    <w:pPr>
      <w:spacing w:after="0" w:line="240" w:lineRule="auto"/>
    </w:pPr>
    <w:rPr>
      <w:rFonts w:ascii="Times New Roman" w:hAnsi="Times New Roman" w:cstheme="minorHAnsi"/>
      <w:color w:val="000000" w:themeColor="text1"/>
      <w:sz w:val="24"/>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31">
    <w:name w:val="Table Grid31"/>
    <w:basedOn w:val="TableNormal"/>
    <w:next w:val="TableGrid"/>
    <w:uiPriority w:val="59"/>
    <w:rsid w:val="004D6221"/>
    <w:pPr>
      <w:spacing w:after="0" w:line="240" w:lineRule="auto"/>
    </w:pPr>
    <w:rPr>
      <w:rFonts w:ascii="Times New Roman" w:hAnsi="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211">
    <w:name w:val="List Table 6 Colorful211"/>
    <w:basedOn w:val="TableNormal"/>
    <w:uiPriority w:val="51"/>
    <w:rsid w:val="004D6221"/>
    <w:pPr>
      <w:spacing w:after="0" w:line="240" w:lineRule="auto"/>
    </w:pPr>
    <w:rPr>
      <w:rFonts w:ascii="Times New Roman" w:hAnsi="Times New Roman" w:cstheme="minorHAnsi"/>
      <w:color w:val="000000" w:themeColor="text1"/>
      <w:sz w:val="24"/>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3111">
    <w:name w:val="Plain Table 3111"/>
    <w:basedOn w:val="TableNormal"/>
    <w:uiPriority w:val="43"/>
    <w:rsid w:val="004D6221"/>
    <w:pPr>
      <w:spacing w:after="0" w:line="240" w:lineRule="auto"/>
    </w:pPr>
    <w:rPr>
      <w:rFonts w:ascii="Times New Roman" w:hAnsi="Times New Roman" w:cstheme="minorHAnsi"/>
      <w:sz w:val="24"/>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211">
    <w:name w:val="Table Grid211"/>
    <w:basedOn w:val="TableNormal"/>
    <w:next w:val="TableGrid"/>
    <w:uiPriority w:val="59"/>
    <w:rsid w:val="004D6221"/>
    <w:pPr>
      <w:spacing w:after="0" w:line="240" w:lineRule="auto"/>
    </w:pPr>
    <w:rPr>
      <w:rFonts w:ascii="Times New Roman" w:hAnsi="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21">
    <w:name w:val="Grid Table 221"/>
    <w:basedOn w:val="TableNormal"/>
    <w:next w:val="GridTable2"/>
    <w:uiPriority w:val="47"/>
    <w:rsid w:val="004D6221"/>
    <w:pPr>
      <w:spacing w:after="0" w:line="240" w:lineRule="auto"/>
    </w:pPr>
    <w:rPr>
      <w:rFonts w:ascii="Times New Roman" w:hAnsi="Times New Roman" w:cstheme="minorHAnsi"/>
      <w:sz w:val="24"/>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411">
    <w:name w:val="Plain Table 411"/>
    <w:basedOn w:val="TableNormal"/>
    <w:next w:val="PlainTable4"/>
    <w:uiPriority w:val="44"/>
    <w:rsid w:val="004D6221"/>
    <w:pPr>
      <w:spacing w:after="0" w:line="240" w:lineRule="auto"/>
    </w:pPr>
    <w:rPr>
      <w:rFonts w:ascii="Times New Roman" w:hAnsi="Times New Roman" w:cstheme="minorHAnsi"/>
      <w:sz w:val="24"/>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11">
    <w:name w:val="Grid Table 411"/>
    <w:basedOn w:val="TableNormal"/>
    <w:next w:val="GridTable4"/>
    <w:uiPriority w:val="49"/>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1">
    <w:name w:val="Table Grid Light11"/>
    <w:basedOn w:val="TableNormal"/>
    <w:next w:val="TableGridLight"/>
    <w:uiPriority w:val="40"/>
    <w:rsid w:val="004D6221"/>
    <w:pPr>
      <w:spacing w:after="0" w:line="240" w:lineRule="auto"/>
    </w:pPr>
    <w:rPr>
      <w:rFonts w:ascii="Times New Roman" w:hAnsi="Times New Roman" w:cstheme="minorHAnsi"/>
      <w:sz w:val="24"/>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111">
    <w:name w:val="Grid Table 2 - Accent 111"/>
    <w:basedOn w:val="TableNormal"/>
    <w:next w:val="GridTable2-Accent1"/>
    <w:uiPriority w:val="47"/>
    <w:rsid w:val="004D6221"/>
    <w:pPr>
      <w:spacing w:after="0" w:line="240" w:lineRule="auto"/>
    </w:pPr>
    <w:rPr>
      <w:rFonts w:ascii="Times New Roman" w:hAnsi="Times New Roman" w:cstheme="minorHAnsi"/>
      <w:sz w:val="24"/>
      <w:szCs w:val="20"/>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1Light-Accent311">
    <w:name w:val="Grid Table 1 Light - Accent 311"/>
    <w:basedOn w:val="TableNormal"/>
    <w:next w:val="GridTable1Light-Accent3"/>
    <w:uiPriority w:val="46"/>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6Colorful-Accent111">
    <w:name w:val="Grid Table 6 Colorful - Accent 111"/>
    <w:basedOn w:val="TableNormal"/>
    <w:next w:val="GridTable6Colorful-Accent1"/>
    <w:uiPriority w:val="51"/>
    <w:rsid w:val="004D6221"/>
    <w:pPr>
      <w:spacing w:after="0" w:line="240" w:lineRule="auto"/>
    </w:pPr>
    <w:rPr>
      <w:rFonts w:ascii="Times New Roman" w:hAnsi="Times New Roman" w:cstheme="minorHAnsi"/>
      <w:color w:val="2E74B5" w:themeColor="accent1" w:themeShade="BF"/>
      <w:sz w:val="24"/>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PlainTable111">
    <w:name w:val="Plain Table 111"/>
    <w:basedOn w:val="TableNormal"/>
    <w:next w:val="PlainTable1"/>
    <w:uiPriority w:val="41"/>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11">
    <w:name w:val="Grid Table 1 Light - Accent 111"/>
    <w:basedOn w:val="TableNormal"/>
    <w:next w:val="GridTable1Light-Accent1"/>
    <w:uiPriority w:val="46"/>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istTable311">
    <w:name w:val="List Table 311"/>
    <w:basedOn w:val="TableNormal"/>
    <w:next w:val="ListTable3"/>
    <w:uiPriority w:val="48"/>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211">
    <w:name w:val="List Table 211"/>
    <w:basedOn w:val="TableNormal"/>
    <w:next w:val="ListTable2"/>
    <w:uiPriority w:val="47"/>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311">
    <w:name w:val="List Table 2 - Accent 311"/>
    <w:basedOn w:val="TableNormal"/>
    <w:next w:val="ListTable2-Accent3"/>
    <w:uiPriority w:val="47"/>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10">
    <w:name w:val="TableGrid11"/>
    <w:rsid w:val="004D6221"/>
    <w:pPr>
      <w:spacing w:after="0" w:line="240" w:lineRule="auto"/>
    </w:pPr>
    <w:rPr>
      <w:rFonts w:ascii="Times New Roman" w:eastAsiaTheme="minorEastAsia" w:hAnsi="Times New Roman" w:cstheme="minorHAnsi"/>
      <w:sz w:val="24"/>
      <w:szCs w:val="20"/>
    </w:rPr>
    <w:tblPr>
      <w:tblCellMar>
        <w:top w:w="0" w:type="dxa"/>
        <w:left w:w="0" w:type="dxa"/>
        <w:bottom w:w="0" w:type="dxa"/>
        <w:right w:w="0" w:type="dxa"/>
      </w:tblCellMar>
    </w:tblPr>
  </w:style>
  <w:style w:type="table" w:customStyle="1" w:styleId="PlainTable211">
    <w:name w:val="Plain Table 211"/>
    <w:basedOn w:val="TableNormal"/>
    <w:next w:val="PlainTable2"/>
    <w:uiPriority w:val="42"/>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41">
    <w:name w:val="List Table 6 Colorful41"/>
    <w:basedOn w:val="TableNormal"/>
    <w:next w:val="ListTable6Colorful"/>
    <w:uiPriority w:val="51"/>
    <w:rsid w:val="004D6221"/>
    <w:pPr>
      <w:spacing w:after="0" w:line="240" w:lineRule="auto"/>
    </w:pPr>
    <w:rPr>
      <w:rFonts w:ascii="Times New Roman" w:hAnsi="Times New Roman" w:cstheme="minorHAnsi"/>
      <w:color w:val="000000" w:themeColor="text1"/>
      <w:sz w:val="24"/>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311">
    <w:name w:val="List Table 6 Colorful311"/>
    <w:basedOn w:val="TableNormal"/>
    <w:next w:val="ListTable6Colorful"/>
    <w:uiPriority w:val="51"/>
    <w:rsid w:val="004D6221"/>
    <w:pPr>
      <w:spacing w:after="0" w:line="240" w:lineRule="auto"/>
    </w:pPr>
    <w:rPr>
      <w:rFonts w:ascii="Times New Roman" w:hAnsi="Times New Roman" w:cstheme="minorHAnsi"/>
      <w:color w:val="000000" w:themeColor="text1"/>
      <w:sz w:val="24"/>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111">
    <w:name w:val="Grid Table 2111"/>
    <w:basedOn w:val="TableNormal"/>
    <w:next w:val="GridTable2"/>
    <w:uiPriority w:val="47"/>
    <w:rsid w:val="004D6221"/>
    <w:pPr>
      <w:spacing w:after="0" w:line="240" w:lineRule="auto"/>
    </w:pPr>
    <w:rPr>
      <w:rFonts w:ascii="Times New Roman" w:hAnsi="Times New Roman" w:cstheme="minorHAnsi"/>
      <w:sz w:val="24"/>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11">
    <w:name w:val="Table Grid111"/>
    <w:basedOn w:val="TableNormal"/>
    <w:next w:val="TableGrid"/>
    <w:uiPriority w:val="39"/>
    <w:rsid w:val="004D6221"/>
    <w:pPr>
      <w:widowControl w:val="0"/>
      <w:suppressAutoHyphens/>
      <w:autoSpaceDN w:val="0"/>
      <w:spacing w:after="0" w:line="240" w:lineRule="auto"/>
      <w:textAlignment w:val="baseline"/>
    </w:pPr>
    <w:rPr>
      <w:rFonts w:ascii="Calibri" w:eastAsia="Calibri" w:hAnsi="Calibri" w:cs="F"/>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311">
    <w:name w:val="List Table 6 Colorful - Accent 311"/>
    <w:basedOn w:val="TableNormal"/>
    <w:next w:val="ListTable6Colorful-Accent3"/>
    <w:uiPriority w:val="51"/>
    <w:rsid w:val="004D6221"/>
    <w:pPr>
      <w:spacing w:after="0" w:line="240" w:lineRule="auto"/>
    </w:pPr>
    <w:rPr>
      <w:rFonts w:ascii="Times New Roman" w:hAnsi="Times New Roman" w:cstheme="minorHAnsi"/>
      <w:color w:val="7B7B7B" w:themeColor="accent3" w:themeShade="BF"/>
      <w:sz w:val="24"/>
      <w:szCs w:val="20"/>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NoList3">
    <w:name w:val="No List3"/>
    <w:next w:val="NoList"/>
    <w:uiPriority w:val="99"/>
    <w:semiHidden/>
    <w:unhideWhenUsed/>
    <w:rsid w:val="004D6221"/>
  </w:style>
  <w:style w:type="table" w:customStyle="1" w:styleId="ListTable6Colorful14">
    <w:name w:val="List Table 6 Colorful14"/>
    <w:basedOn w:val="TableNormal"/>
    <w:uiPriority w:val="51"/>
    <w:rsid w:val="004D6221"/>
    <w:pPr>
      <w:spacing w:after="0" w:line="240" w:lineRule="auto"/>
    </w:pPr>
    <w:rPr>
      <w:rFonts w:ascii="Times New Roman" w:hAnsi="Times New Roman" w:cstheme="minorHAnsi"/>
      <w:color w:val="000000" w:themeColor="text1"/>
      <w:sz w:val="24"/>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3">
    <w:name w:val="List Table 6 Colorful113"/>
    <w:basedOn w:val="TableNormal"/>
    <w:uiPriority w:val="51"/>
    <w:rsid w:val="004D6221"/>
    <w:pPr>
      <w:spacing w:after="0" w:line="240" w:lineRule="auto"/>
    </w:pPr>
    <w:rPr>
      <w:rFonts w:ascii="Times New Roman" w:hAnsi="Times New Roman" w:cstheme="minorHAnsi"/>
      <w:color w:val="000000" w:themeColor="text1"/>
      <w:sz w:val="24"/>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5">
    <w:name w:val="Table Grid5"/>
    <w:basedOn w:val="TableNormal"/>
    <w:next w:val="TableGrid"/>
    <w:uiPriority w:val="39"/>
    <w:rsid w:val="004D6221"/>
    <w:pPr>
      <w:spacing w:after="0" w:line="240" w:lineRule="auto"/>
    </w:pPr>
    <w:rPr>
      <w:rFonts w:ascii="Times New Roman" w:hAnsi="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23">
    <w:name w:val="List Table 6 Colorful23"/>
    <w:basedOn w:val="TableNormal"/>
    <w:uiPriority w:val="51"/>
    <w:rsid w:val="004D6221"/>
    <w:pPr>
      <w:spacing w:after="0" w:line="240" w:lineRule="auto"/>
    </w:pPr>
    <w:rPr>
      <w:rFonts w:ascii="Times New Roman" w:hAnsi="Times New Roman" w:cstheme="minorHAnsi"/>
      <w:color w:val="000000" w:themeColor="text1"/>
      <w:sz w:val="24"/>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313">
    <w:name w:val="Plain Table 313"/>
    <w:basedOn w:val="TableNormal"/>
    <w:uiPriority w:val="43"/>
    <w:rsid w:val="004D6221"/>
    <w:pPr>
      <w:spacing w:after="0" w:line="240" w:lineRule="auto"/>
    </w:pPr>
    <w:rPr>
      <w:rFonts w:ascii="Times New Roman" w:hAnsi="Times New Roman" w:cstheme="minorHAnsi"/>
      <w:sz w:val="24"/>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23">
    <w:name w:val="Table Grid23"/>
    <w:basedOn w:val="TableNormal"/>
    <w:next w:val="TableGrid"/>
    <w:uiPriority w:val="59"/>
    <w:rsid w:val="004D6221"/>
    <w:pPr>
      <w:spacing w:after="0" w:line="240" w:lineRule="auto"/>
    </w:pPr>
    <w:rPr>
      <w:rFonts w:ascii="Times New Roman" w:hAnsi="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4">
    <w:name w:val="Grid Table 24"/>
    <w:basedOn w:val="TableNormal"/>
    <w:next w:val="GridTable2"/>
    <w:uiPriority w:val="47"/>
    <w:rsid w:val="004D6221"/>
    <w:pPr>
      <w:spacing w:after="0" w:line="240" w:lineRule="auto"/>
    </w:pPr>
    <w:rPr>
      <w:rFonts w:ascii="Times New Roman" w:hAnsi="Times New Roman" w:cstheme="minorHAnsi"/>
      <w:sz w:val="24"/>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43">
    <w:name w:val="Plain Table 43"/>
    <w:basedOn w:val="TableNormal"/>
    <w:next w:val="PlainTable4"/>
    <w:uiPriority w:val="44"/>
    <w:rsid w:val="004D6221"/>
    <w:pPr>
      <w:spacing w:after="0" w:line="240" w:lineRule="auto"/>
    </w:pPr>
    <w:rPr>
      <w:rFonts w:ascii="Times New Roman" w:hAnsi="Times New Roman" w:cstheme="minorHAnsi"/>
      <w:sz w:val="24"/>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3">
    <w:name w:val="Grid Table 43"/>
    <w:basedOn w:val="TableNormal"/>
    <w:next w:val="GridTable4"/>
    <w:uiPriority w:val="49"/>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3">
    <w:name w:val="Table Grid Light3"/>
    <w:basedOn w:val="TableNormal"/>
    <w:next w:val="TableGridLight"/>
    <w:uiPriority w:val="40"/>
    <w:rsid w:val="004D6221"/>
    <w:pPr>
      <w:spacing w:after="0" w:line="240" w:lineRule="auto"/>
    </w:pPr>
    <w:rPr>
      <w:rFonts w:ascii="Times New Roman" w:hAnsi="Times New Roman" w:cstheme="minorHAnsi"/>
      <w:sz w:val="24"/>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13">
    <w:name w:val="Grid Table 2 - Accent 13"/>
    <w:basedOn w:val="TableNormal"/>
    <w:next w:val="GridTable2-Accent1"/>
    <w:uiPriority w:val="47"/>
    <w:rsid w:val="004D6221"/>
    <w:pPr>
      <w:spacing w:after="0" w:line="240" w:lineRule="auto"/>
    </w:pPr>
    <w:rPr>
      <w:rFonts w:ascii="Times New Roman" w:hAnsi="Times New Roman" w:cstheme="minorHAnsi"/>
      <w:sz w:val="24"/>
      <w:szCs w:val="20"/>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1Light-Accent33">
    <w:name w:val="Grid Table 1 Light - Accent 33"/>
    <w:basedOn w:val="TableNormal"/>
    <w:next w:val="GridTable1Light-Accent3"/>
    <w:uiPriority w:val="46"/>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6Colorful-Accent13">
    <w:name w:val="Grid Table 6 Colorful - Accent 13"/>
    <w:basedOn w:val="TableNormal"/>
    <w:next w:val="GridTable6Colorful-Accent1"/>
    <w:uiPriority w:val="51"/>
    <w:rsid w:val="004D6221"/>
    <w:pPr>
      <w:spacing w:after="0" w:line="240" w:lineRule="auto"/>
    </w:pPr>
    <w:rPr>
      <w:rFonts w:ascii="Times New Roman" w:hAnsi="Times New Roman" w:cstheme="minorHAnsi"/>
      <w:color w:val="2E74B5" w:themeColor="accent1" w:themeShade="BF"/>
      <w:sz w:val="24"/>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PlainTable13">
    <w:name w:val="Plain Table 13"/>
    <w:basedOn w:val="TableNormal"/>
    <w:next w:val="PlainTable1"/>
    <w:uiPriority w:val="41"/>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3">
    <w:name w:val="Grid Table 1 Light - Accent 13"/>
    <w:basedOn w:val="TableNormal"/>
    <w:next w:val="GridTable1Light-Accent1"/>
    <w:uiPriority w:val="46"/>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istTable33">
    <w:name w:val="List Table 33"/>
    <w:basedOn w:val="TableNormal"/>
    <w:next w:val="ListTable3"/>
    <w:uiPriority w:val="48"/>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23">
    <w:name w:val="List Table 23"/>
    <w:basedOn w:val="TableNormal"/>
    <w:next w:val="ListTable2"/>
    <w:uiPriority w:val="47"/>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33">
    <w:name w:val="List Table 2 - Accent 33"/>
    <w:basedOn w:val="TableNormal"/>
    <w:next w:val="ListTable2-Accent3"/>
    <w:uiPriority w:val="47"/>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30">
    <w:name w:val="TableGrid3"/>
    <w:rsid w:val="004D6221"/>
    <w:pPr>
      <w:spacing w:after="0" w:line="240" w:lineRule="auto"/>
    </w:pPr>
    <w:rPr>
      <w:rFonts w:ascii="Times New Roman" w:eastAsiaTheme="minorEastAsia" w:hAnsi="Times New Roman" w:cstheme="minorHAnsi"/>
      <w:sz w:val="24"/>
      <w:szCs w:val="20"/>
    </w:rPr>
    <w:tblPr>
      <w:tblCellMar>
        <w:top w:w="0" w:type="dxa"/>
        <w:left w:w="0" w:type="dxa"/>
        <w:bottom w:w="0" w:type="dxa"/>
        <w:right w:w="0" w:type="dxa"/>
      </w:tblCellMar>
    </w:tblPr>
  </w:style>
  <w:style w:type="table" w:customStyle="1" w:styleId="PlainTable23">
    <w:name w:val="Plain Table 23"/>
    <w:basedOn w:val="TableNormal"/>
    <w:next w:val="PlainTable2"/>
    <w:uiPriority w:val="42"/>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6">
    <w:name w:val="List Table 6 Colorful6"/>
    <w:basedOn w:val="TableNormal"/>
    <w:next w:val="ListTable6Colorful"/>
    <w:uiPriority w:val="51"/>
    <w:rsid w:val="004D6221"/>
    <w:pPr>
      <w:spacing w:after="0" w:line="240" w:lineRule="auto"/>
    </w:pPr>
    <w:rPr>
      <w:rFonts w:ascii="Times New Roman" w:hAnsi="Times New Roman" w:cstheme="minorHAnsi"/>
      <w:color w:val="000000" w:themeColor="text1"/>
      <w:sz w:val="24"/>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33">
    <w:name w:val="List Table 6 Colorful33"/>
    <w:basedOn w:val="TableNormal"/>
    <w:next w:val="ListTable6Colorful"/>
    <w:uiPriority w:val="51"/>
    <w:rsid w:val="004D6221"/>
    <w:pPr>
      <w:spacing w:after="0" w:line="240" w:lineRule="auto"/>
    </w:pPr>
    <w:rPr>
      <w:rFonts w:ascii="Times New Roman" w:hAnsi="Times New Roman" w:cstheme="minorHAnsi"/>
      <w:color w:val="000000" w:themeColor="text1"/>
      <w:sz w:val="24"/>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13">
    <w:name w:val="Grid Table 213"/>
    <w:basedOn w:val="TableNormal"/>
    <w:next w:val="GridTable2"/>
    <w:uiPriority w:val="47"/>
    <w:rsid w:val="004D6221"/>
    <w:pPr>
      <w:spacing w:after="0" w:line="240" w:lineRule="auto"/>
    </w:pPr>
    <w:rPr>
      <w:rFonts w:ascii="Times New Roman" w:hAnsi="Times New Roman" w:cstheme="minorHAnsi"/>
      <w:sz w:val="24"/>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3">
    <w:name w:val="Table Grid13"/>
    <w:basedOn w:val="TableNormal"/>
    <w:next w:val="TableGrid"/>
    <w:uiPriority w:val="39"/>
    <w:rsid w:val="004D6221"/>
    <w:pPr>
      <w:widowControl w:val="0"/>
      <w:suppressAutoHyphens/>
      <w:autoSpaceDN w:val="0"/>
      <w:spacing w:after="0" w:line="240" w:lineRule="auto"/>
      <w:textAlignment w:val="baseline"/>
    </w:pPr>
    <w:rPr>
      <w:rFonts w:ascii="Calibri" w:eastAsia="Calibri" w:hAnsi="Calibri" w:cs="F"/>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33">
    <w:name w:val="List Table 6 Colorful - Accent 33"/>
    <w:basedOn w:val="TableNormal"/>
    <w:next w:val="ListTable6Colorful-Accent3"/>
    <w:uiPriority w:val="51"/>
    <w:rsid w:val="004D6221"/>
    <w:pPr>
      <w:spacing w:after="0" w:line="240" w:lineRule="auto"/>
    </w:pPr>
    <w:rPr>
      <w:rFonts w:ascii="Times New Roman" w:hAnsi="Times New Roman" w:cstheme="minorHAnsi"/>
      <w:color w:val="7B7B7B" w:themeColor="accent3" w:themeShade="BF"/>
      <w:sz w:val="24"/>
      <w:szCs w:val="20"/>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NoList13">
    <w:name w:val="No List13"/>
    <w:next w:val="NoList"/>
    <w:uiPriority w:val="99"/>
    <w:semiHidden/>
    <w:unhideWhenUsed/>
    <w:rsid w:val="004D6221"/>
  </w:style>
  <w:style w:type="table" w:customStyle="1" w:styleId="ListTable6Colorful122">
    <w:name w:val="List Table 6 Colorful122"/>
    <w:basedOn w:val="TableNormal"/>
    <w:uiPriority w:val="51"/>
    <w:rsid w:val="004D6221"/>
    <w:pPr>
      <w:spacing w:after="0" w:line="240" w:lineRule="auto"/>
    </w:pPr>
    <w:rPr>
      <w:rFonts w:ascii="Times New Roman" w:hAnsi="Times New Roman" w:cstheme="minorHAnsi"/>
      <w:color w:val="000000" w:themeColor="text1"/>
      <w:sz w:val="24"/>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12">
    <w:name w:val="List Table 6 Colorful1112"/>
    <w:basedOn w:val="TableNormal"/>
    <w:uiPriority w:val="51"/>
    <w:rsid w:val="004D6221"/>
    <w:pPr>
      <w:spacing w:after="0" w:line="240" w:lineRule="auto"/>
    </w:pPr>
    <w:rPr>
      <w:rFonts w:ascii="Times New Roman" w:hAnsi="Times New Roman" w:cstheme="minorHAnsi"/>
      <w:color w:val="000000" w:themeColor="text1"/>
      <w:sz w:val="24"/>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32">
    <w:name w:val="Table Grid32"/>
    <w:basedOn w:val="TableNormal"/>
    <w:next w:val="TableGrid"/>
    <w:uiPriority w:val="59"/>
    <w:rsid w:val="004D6221"/>
    <w:pPr>
      <w:spacing w:after="0" w:line="240" w:lineRule="auto"/>
    </w:pPr>
    <w:rPr>
      <w:rFonts w:ascii="Times New Roman" w:hAnsi="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212">
    <w:name w:val="List Table 6 Colorful212"/>
    <w:basedOn w:val="TableNormal"/>
    <w:uiPriority w:val="51"/>
    <w:rsid w:val="004D6221"/>
    <w:pPr>
      <w:spacing w:after="0" w:line="240" w:lineRule="auto"/>
    </w:pPr>
    <w:rPr>
      <w:rFonts w:ascii="Times New Roman" w:hAnsi="Times New Roman" w:cstheme="minorHAnsi"/>
      <w:color w:val="000000" w:themeColor="text1"/>
      <w:sz w:val="24"/>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3112">
    <w:name w:val="Plain Table 3112"/>
    <w:basedOn w:val="TableNormal"/>
    <w:uiPriority w:val="43"/>
    <w:rsid w:val="004D6221"/>
    <w:pPr>
      <w:spacing w:after="0" w:line="240" w:lineRule="auto"/>
    </w:pPr>
    <w:rPr>
      <w:rFonts w:ascii="Times New Roman" w:hAnsi="Times New Roman" w:cstheme="minorHAnsi"/>
      <w:sz w:val="24"/>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212">
    <w:name w:val="Table Grid212"/>
    <w:basedOn w:val="TableNormal"/>
    <w:next w:val="TableGrid"/>
    <w:uiPriority w:val="59"/>
    <w:rsid w:val="004D6221"/>
    <w:pPr>
      <w:spacing w:after="0" w:line="240" w:lineRule="auto"/>
    </w:pPr>
    <w:rPr>
      <w:rFonts w:ascii="Times New Roman" w:hAnsi="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22">
    <w:name w:val="Grid Table 222"/>
    <w:basedOn w:val="TableNormal"/>
    <w:next w:val="GridTable2"/>
    <w:uiPriority w:val="47"/>
    <w:rsid w:val="004D6221"/>
    <w:pPr>
      <w:spacing w:after="0" w:line="240" w:lineRule="auto"/>
    </w:pPr>
    <w:rPr>
      <w:rFonts w:ascii="Times New Roman" w:hAnsi="Times New Roman" w:cstheme="minorHAnsi"/>
      <w:sz w:val="24"/>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412">
    <w:name w:val="Plain Table 412"/>
    <w:basedOn w:val="TableNormal"/>
    <w:next w:val="PlainTable4"/>
    <w:uiPriority w:val="44"/>
    <w:rsid w:val="004D6221"/>
    <w:pPr>
      <w:spacing w:after="0" w:line="240" w:lineRule="auto"/>
    </w:pPr>
    <w:rPr>
      <w:rFonts w:ascii="Times New Roman" w:hAnsi="Times New Roman" w:cstheme="minorHAnsi"/>
      <w:sz w:val="24"/>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12">
    <w:name w:val="Grid Table 412"/>
    <w:basedOn w:val="TableNormal"/>
    <w:next w:val="GridTable4"/>
    <w:uiPriority w:val="49"/>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2">
    <w:name w:val="Table Grid Light12"/>
    <w:basedOn w:val="TableNormal"/>
    <w:next w:val="TableGridLight"/>
    <w:uiPriority w:val="40"/>
    <w:rsid w:val="004D6221"/>
    <w:pPr>
      <w:spacing w:after="0" w:line="240" w:lineRule="auto"/>
    </w:pPr>
    <w:rPr>
      <w:rFonts w:ascii="Times New Roman" w:hAnsi="Times New Roman" w:cstheme="minorHAnsi"/>
      <w:sz w:val="24"/>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112">
    <w:name w:val="Grid Table 2 - Accent 112"/>
    <w:basedOn w:val="TableNormal"/>
    <w:next w:val="GridTable2-Accent1"/>
    <w:uiPriority w:val="47"/>
    <w:rsid w:val="004D6221"/>
    <w:pPr>
      <w:spacing w:after="0" w:line="240" w:lineRule="auto"/>
    </w:pPr>
    <w:rPr>
      <w:rFonts w:ascii="Times New Roman" w:hAnsi="Times New Roman" w:cstheme="minorHAnsi"/>
      <w:sz w:val="24"/>
      <w:szCs w:val="20"/>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1Light-Accent312">
    <w:name w:val="Grid Table 1 Light - Accent 312"/>
    <w:basedOn w:val="TableNormal"/>
    <w:next w:val="GridTable1Light-Accent3"/>
    <w:uiPriority w:val="46"/>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6Colorful-Accent112">
    <w:name w:val="Grid Table 6 Colorful - Accent 112"/>
    <w:basedOn w:val="TableNormal"/>
    <w:next w:val="GridTable6Colorful-Accent1"/>
    <w:uiPriority w:val="51"/>
    <w:rsid w:val="004D6221"/>
    <w:pPr>
      <w:spacing w:after="0" w:line="240" w:lineRule="auto"/>
    </w:pPr>
    <w:rPr>
      <w:rFonts w:ascii="Times New Roman" w:hAnsi="Times New Roman" w:cstheme="minorHAnsi"/>
      <w:color w:val="2E74B5" w:themeColor="accent1" w:themeShade="BF"/>
      <w:sz w:val="24"/>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PlainTable112">
    <w:name w:val="Plain Table 112"/>
    <w:basedOn w:val="TableNormal"/>
    <w:next w:val="PlainTable1"/>
    <w:uiPriority w:val="41"/>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12">
    <w:name w:val="Grid Table 1 Light - Accent 112"/>
    <w:basedOn w:val="TableNormal"/>
    <w:next w:val="GridTable1Light-Accent1"/>
    <w:uiPriority w:val="46"/>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istTable312">
    <w:name w:val="List Table 312"/>
    <w:basedOn w:val="TableNormal"/>
    <w:next w:val="ListTable3"/>
    <w:uiPriority w:val="48"/>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212">
    <w:name w:val="List Table 212"/>
    <w:basedOn w:val="TableNormal"/>
    <w:next w:val="ListTable2"/>
    <w:uiPriority w:val="47"/>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312">
    <w:name w:val="List Table 2 - Accent 312"/>
    <w:basedOn w:val="TableNormal"/>
    <w:next w:val="ListTable2-Accent3"/>
    <w:uiPriority w:val="47"/>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20">
    <w:name w:val="TableGrid12"/>
    <w:rsid w:val="004D6221"/>
    <w:pPr>
      <w:spacing w:after="0" w:line="240" w:lineRule="auto"/>
    </w:pPr>
    <w:rPr>
      <w:rFonts w:ascii="Times New Roman" w:eastAsiaTheme="minorEastAsia" w:hAnsi="Times New Roman" w:cstheme="minorHAnsi"/>
      <w:sz w:val="24"/>
      <w:szCs w:val="20"/>
    </w:rPr>
    <w:tblPr>
      <w:tblCellMar>
        <w:top w:w="0" w:type="dxa"/>
        <w:left w:w="0" w:type="dxa"/>
        <w:bottom w:w="0" w:type="dxa"/>
        <w:right w:w="0" w:type="dxa"/>
      </w:tblCellMar>
    </w:tblPr>
  </w:style>
  <w:style w:type="table" w:customStyle="1" w:styleId="PlainTable212">
    <w:name w:val="Plain Table 212"/>
    <w:basedOn w:val="TableNormal"/>
    <w:next w:val="PlainTable2"/>
    <w:uiPriority w:val="42"/>
    <w:rsid w:val="004D6221"/>
    <w:pPr>
      <w:spacing w:after="0" w:line="240" w:lineRule="auto"/>
    </w:pPr>
    <w:rPr>
      <w:rFonts w:ascii="Times New Roman" w:hAnsi="Times New Roman" w:cstheme="minorHAnsi"/>
      <w:sz w:val="24"/>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42">
    <w:name w:val="List Table 6 Colorful42"/>
    <w:basedOn w:val="TableNormal"/>
    <w:next w:val="ListTable6Colorful"/>
    <w:uiPriority w:val="51"/>
    <w:rsid w:val="004D6221"/>
    <w:pPr>
      <w:spacing w:after="0" w:line="240" w:lineRule="auto"/>
    </w:pPr>
    <w:rPr>
      <w:rFonts w:ascii="Times New Roman" w:hAnsi="Times New Roman" w:cstheme="minorHAnsi"/>
      <w:color w:val="000000" w:themeColor="text1"/>
      <w:sz w:val="24"/>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312">
    <w:name w:val="List Table 6 Colorful312"/>
    <w:basedOn w:val="TableNormal"/>
    <w:next w:val="ListTable6Colorful"/>
    <w:uiPriority w:val="51"/>
    <w:rsid w:val="004D6221"/>
    <w:pPr>
      <w:spacing w:after="0" w:line="240" w:lineRule="auto"/>
    </w:pPr>
    <w:rPr>
      <w:rFonts w:ascii="Times New Roman" w:hAnsi="Times New Roman" w:cstheme="minorHAnsi"/>
      <w:color w:val="000000" w:themeColor="text1"/>
      <w:sz w:val="24"/>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112">
    <w:name w:val="Grid Table 2112"/>
    <w:basedOn w:val="TableNormal"/>
    <w:next w:val="GridTable2"/>
    <w:uiPriority w:val="47"/>
    <w:rsid w:val="004D6221"/>
    <w:pPr>
      <w:spacing w:after="0" w:line="240" w:lineRule="auto"/>
    </w:pPr>
    <w:rPr>
      <w:rFonts w:ascii="Times New Roman" w:hAnsi="Times New Roman" w:cstheme="minorHAnsi"/>
      <w:sz w:val="24"/>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12">
    <w:name w:val="Table Grid112"/>
    <w:basedOn w:val="TableNormal"/>
    <w:next w:val="TableGrid"/>
    <w:uiPriority w:val="39"/>
    <w:rsid w:val="004D6221"/>
    <w:pPr>
      <w:widowControl w:val="0"/>
      <w:suppressAutoHyphens/>
      <w:autoSpaceDN w:val="0"/>
      <w:spacing w:after="0" w:line="240" w:lineRule="auto"/>
      <w:textAlignment w:val="baseline"/>
    </w:pPr>
    <w:rPr>
      <w:rFonts w:ascii="Calibri" w:eastAsia="Calibri" w:hAnsi="Calibri" w:cs="F"/>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312">
    <w:name w:val="List Table 6 Colorful - Accent 312"/>
    <w:basedOn w:val="TableNormal"/>
    <w:next w:val="ListTable6Colorful-Accent3"/>
    <w:uiPriority w:val="51"/>
    <w:rsid w:val="004D6221"/>
    <w:pPr>
      <w:spacing w:after="0" w:line="240" w:lineRule="auto"/>
    </w:pPr>
    <w:rPr>
      <w:rFonts w:ascii="Times New Roman" w:hAnsi="Times New Roman" w:cstheme="minorHAnsi"/>
      <w:color w:val="7B7B7B" w:themeColor="accent3" w:themeShade="BF"/>
      <w:sz w:val="24"/>
      <w:szCs w:val="20"/>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Style1">
    <w:name w:val="Style1"/>
    <w:basedOn w:val="Normal"/>
    <w:rsid w:val="004D6221"/>
    <w:pPr>
      <w:spacing w:before="0" w:after="0" w:line="480" w:lineRule="auto"/>
      <w:jc w:val="left"/>
    </w:pPr>
    <w:rPr>
      <w:rFonts w:eastAsia="Times New Roman" w:cs="Times New Roman"/>
      <w:sz w:val="22"/>
      <w:szCs w:val="24"/>
    </w:rPr>
  </w:style>
  <w:style w:type="numbering" w:customStyle="1" w:styleId="Style3">
    <w:name w:val="Style3"/>
    <w:uiPriority w:val="99"/>
    <w:rsid w:val="004D6221"/>
    <w:pPr>
      <w:numPr>
        <w:numId w:val="1"/>
      </w:numPr>
    </w:pPr>
  </w:style>
  <w:style w:type="paragraph" w:customStyle="1" w:styleId="TOCHeading1">
    <w:name w:val="TOC Heading1"/>
    <w:basedOn w:val="Heading1"/>
    <w:next w:val="Normal"/>
    <w:uiPriority w:val="39"/>
    <w:qFormat/>
    <w:rsid w:val="004D6221"/>
    <w:pPr>
      <w:suppressAutoHyphens w:val="0"/>
      <w:spacing w:before="120" w:after="0" w:line="480" w:lineRule="auto"/>
      <w:jc w:val="center"/>
      <w:outlineLvl w:val="9"/>
    </w:pPr>
    <w:rPr>
      <w:rFonts w:eastAsia="SimSun" w:cs="SimSun"/>
      <w:bCs w:val="0"/>
      <w:color w:val="2E74B5"/>
      <w:sz w:val="22"/>
      <w:szCs w:val="32"/>
      <w:lang w:eastAsia="en-US"/>
    </w:rPr>
  </w:style>
  <w:style w:type="paragraph" w:styleId="Quote">
    <w:name w:val="Quote"/>
    <w:basedOn w:val="Normal"/>
    <w:next w:val="Normal"/>
    <w:link w:val="QuoteChar"/>
    <w:uiPriority w:val="29"/>
    <w:qFormat/>
    <w:rsid w:val="004D6221"/>
    <w:pPr>
      <w:spacing w:before="200" w:after="160" w:line="480" w:lineRule="auto"/>
      <w:ind w:left="864" w:right="864"/>
      <w:jc w:val="center"/>
    </w:pPr>
    <w:rPr>
      <w:rFonts w:eastAsia="Calibri" w:cs="SimSun"/>
      <w:i/>
      <w:iCs/>
      <w:color w:val="404040" w:themeColor="text1" w:themeTint="BF"/>
      <w:sz w:val="22"/>
      <w:lang w:val="en-GB"/>
    </w:rPr>
  </w:style>
  <w:style w:type="character" w:customStyle="1" w:styleId="QuoteChar">
    <w:name w:val="Quote Char"/>
    <w:basedOn w:val="DefaultParagraphFont"/>
    <w:link w:val="Quote"/>
    <w:uiPriority w:val="29"/>
    <w:qFormat/>
    <w:rsid w:val="004D6221"/>
    <w:rPr>
      <w:rFonts w:ascii="Times New Roman" w:eastAsia="Calibri" w:hAnsi="Times New Roman" w:cs="SimSun"/>
      <w:i/>
      <w:iCs/>
      <w:color w:val="404040" w:themeColor="text1" w:themeTint="BF"/>
      <w:lang w:val="en-GB"/>
    </w:rPr>
  </w:style>
  <w:style w:type="character" w:customStyle="1" w:styleId="15">
    <w:name w:val="15"/>
    <w:basedOn w:val="DefaultParagraphFont"/>
    <w:rsid w:val="004D6221"/>
    <w:rPr>
      <w:rFonts w:ascii="Times New Roman" w:hAnsi="Times New Roman" w:cs="Times New Roman" w:hint="default"/>
      <w:sz w:val="16"/>
      <w:szCs w:val="16"/>
    </w:rPr>
  </w:style>
  <w:style w:type="character" w:customStyle="1" w:styleId="ws2">
    <w:name w:val="ws2"/>
    <w:basedOn w:val="DefaultParagraphFont"/>
    <w:rsid w:val="004D6221"/>
  </w:style>
  <w:style w:type="character" w:customStyle="1" w:styleId="ls9">
    <w:name w:val="ls9"/>
    <w:basedOn w:val="DefaultParagraphFont"/>
    <w:rsid w:val="004D6221"/>
  </w:style>
  <w:style w:type="character" w:customStyle="1" w:styleId="ls1">
    <w:name w:val="ls1"/>
    <w:basedOn w:val="DefaultParagraphFont"/>
    <w:rsid w:val="004D6221"/>
  </w:style>
  <w:style w:type="character" w:customStyle="1" w:styleId="ws8">
    <w:name w:val="ws8"/>
    <w:basedOn w:val="DefaultParagraphFont"/>
    <w:rsid w:val="004D6221"/>
  </w:style>
  <w:style w:type="character" w:customStyle="1" w:styleId="ff2">
    <w:name w:val="ff2"/>
    <w:basedOn w:val="DefaultParagraphFont"/>
    <w:rsid w:val="00E340FD"/>
  </w:style>
  <w:style w:type="character" w:customStyle="1" w:styleId="ls2">
    <w:name w:val="ls2"/>
    <w:basedOn w:val="DefaultParagraphFont"/>
    <w:rsid w:val="00E340FD"/>
  </w:style>
  <w:style w:type="character" w:customStyle="1" w:styleId="mixed-citation">
    <w:name w:val="mixed-citation"/>
    <w:basedOn w:val="DefaultParagraphFont"/>
    <w:rsid w:val="00E340FD"/>
  </w:style>
  <w:style w:type="character" w:customStyle="1" w:styleId="rpv-coretext-layer-text">
    <w:name w:val="rpv-core__text-layer-text"/>
    <w:basedOn w:val="DefaultParagraphFont"/>
    <w:rsid w:val="00E340FD"/>
  </w:style>
  <w:style w:type="table" w:customStyle="1" w:styleId="LightShading1">
    <w:name w:val="Light Shading1"/>
    <w:basedOn w:val="TableNormal"/>
    <w:uiPriority w:val="60"/>
    <w:rsid w:val="00953D59"/>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irstmt-15">
    <w:name w:val="first:mt-1.5"/>
    <w:basedOn w:val="Normal"/>
    <w:rsid w:val="007D2ADA"/>
    <w:pPr>
      <w:spacing w:beforeAutospacing="1" w:afterAutospacing="1"/>
    </w:pPr>
    <w:rPr>
      <w:rFonts w:eastAsia="Times New Roman" w:cs="Times New Roman"/>
      <w:szCs w:val="24"/>
    </w:rPr>
  </w:style>
  <w:style w:type="character" w:styleId="IntenseEmphasis">
    <w:name w:val="Intense Emphasis"/>
    <w:basedOn w:val="DefaultParagraphFont"/>
    <w:uiPriority w:val="21"/>
    <w:qFormat/>
    <w:rsid w:val="00ED5DAA"/>
    <w:rPr>
      <w:i/>
      <w:iCs/>
      <w:color w:val="2E74B5" w:themeColor="accent1" w:themeShade="BF"/>
    </w:rPr>
  </w:style>
  <w:style w:type="paragraph" w:styleId="IntenseQuote">
    <w:name w:val="Intense Quote"/>
    <w:basedOn w:val="Normal"/>
    <w:next w:val="Normal"/>
    <w:link w:val="IntenseQuoteChar"/>
    <w:uiPriority w:val="30"/>
    <w:qFormat/>
    <w:rsid w:val="00ED5DA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hAnsiTheme="minorHAnsi"/>
      <w:i/>
      <w:iCs/>
      <w:color w:val="2E74B5"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ED5DAA"/>
    <w:rPr>
      <w:i/>
      <w:iCs/>
      <w:color w:val="2E74B5" w:themeColor="accent1" w:themeShade="BF"/>
      <w:kern w:val="2"/>
      <w14:ligatures w14:val="standardContextual"/>
    </w:rPr>
  </w:style>
  <w:style w:type="character" w:styleId="IntenseReference">
    <w:name w:val="Intense Reference"/>
    <w:basedOn w:val="DefaultParagraphFont"/>
    <w:uiPriority w:val="32"/>
    <w:qFormat/>
    <w:rsid w:val="00ED5DAA"/>
    <w:rPr>
      <w:b/>
      <w:bCs/>
      <w:smallCaps/>
      <w:color w:val="2E74B5" w:themeColor="accent1" w:themeShade="BF"/>
      <w:spacing w:val="5"/>
    </w:rPr>
  </w:style>
  <w:style w:type="paragraph" w:customStyle="1" w:styleId="09-SciencePG-To-cite-this-article-content">
    <w:name w:val="09-SciencePG-To-cite-this-article-content"/>
    <w:basedOn w:val="Normal"/>
    <w:rsid w:val="00ED5DAA"/>
    <w:pPr>
      <w:widowControl w:val="0"/>
      <w:adjustRightInd w:val="0"/>
      <w:snapToGrid w:val="0"/>
      <w:spacing w:before="0" w:after="0" w:line="240" w:lineRule="exact"/>
      <w:jc w:val="left"/>
    </w:pPr>
    <w:rPr>
      <w:rFonts w:eastAsia="Times New Roman" w:cs="Times New Roman"/>
      <w:kern w:val="2"/>
      <w:sz w:val="18"/>
      <w:szCs w:val="18"/>
      <w:lang w:val="en-GB" w:eastAsia="zh-CN"/>
    </w:rPr>
  </w:style>
  <w:style w:type="paragraph" w:customStyle="1" w:styleId="38-SciencePG-line03">
    <w:name w:val="38-SciencePG-line03"/>
    <w:basedOn w:val="Normal"/>
    <w:rsid w:val="00ED5DAA"/>
    <w:pPr>
      <w:widowControl w:val="0"/>
      <w:adjustRightInd w:val="0"/>
      <w:snapToGrid w:val="0"/>
      <w:spacing w:before="160" w:after="80" w:line="240" w:lineRule="exact"/>
    </w:pPr>
    <w:rPr>
      <w:rFonts w:ascii="Arial" w:eastAsia="Times New Roman" w:hAnsi="Arial" w:cs="Arial"/>
      <w:b/>
      <w:kern w:val="2"/>
      <w:sz w:val="22"/>
      <w:szCs w:val="21"/>
      <w:lang w:eastAsia="zh-CN"/>
    </w:rPr>
  </w:style>
  <w:style w:type="paragraph" w:customStyle="1" w:styleId="82-SciencePG-date">
    <w:name w:val="82-SciencePG-date"/>
    <w:basedOn w:val="09-SciencePG-To-cite-this-article-content"/>
    <w:rsid w:val="00ED5DAA"/>
    <w:pPr>
      <w:spacing w:before="160"/>
    </w:pPr>
  </w:style>
  <w:style w:type="character" w:customStyle="1" w:styleId="83-SciencePG-data-bold">
    <w:name w:val="83-SciencePG-data-bold"/>
    <w:basedOn w:val="DefaultParagraphFont"/>
    <w:uiPriority w:val="1"/>
    <w:rsid w:val="00ED5DAA"/>
    <w:rPr>
      <w:rFonts w:ascii="Times New Roman" w:eastAsia="Times New Roman" w:hAnsi="Times New Roman"/>
      <w:b/>
      <w:sz w:val="18"/>
    </w:rPr>
  </w:style>
  <w:style w:type="paragraph" w:customStyle="1" w:styleId="06-SciencePG-Email-address">
    <w:name w:val="06-SciencePG-Email-address"/>
    <w:basedOn w:val="Normal"/>
    <w:rsid w:val="00ED5DAA"/>
    <w:pPr>
      <w:widowControl w:val="0"/>
      <w:adjustRightInd w:val="0"/>
      <w:snapToGrid w:val="0"/>
      <w:spacing w:before="160" w:after="0" w:line="240" w:lineRule="exact"/>
      <w:jc w:val="left"/>
    </w:pPr>
    <w:rPr>
      <w:rFonts w:eastAsia="Times New Roman" w:cs="Times New Roman"/>
      <w:b/>
      <w:kern w:val="2"/>
      <w:szCs w:val="21"/>
      <w:lang w:eastAsia="zh-CN"/>
    </w:rPr>
  </w:style>
  <w:style w:type="character" w:customStyle="1" w:styleId="apple-converted-space">
    <w:name w:val="apple-converted-space"/>
    <w:basedOn w:val="DefaultParagraphFont"/>
    <w:rsid w:val="00FC1E2F"/>
  </w:style>
  <w:style w:type="table" w:customStyle="1" w:styleId="TableGrid19">
    <w:name w:val="Table Grid19"/>
    <w:basedOn w:val="TableNormal"/>
    <w:next w:val="TableGrid"/>
    <w:uiPriority w:val="39"/>
    <w:rsid w:val="00FC1E2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71491"/>
    <w:pPr>
      <w:spacing w:after="0" w:line="240" w:lineRule="auto"/>
    </w:pPr>
    <w:rPr>
      <w:rFonts w:ascii="Calibri" w:eastAsia="Calibri" w:hAnsi="Calibri" w:cs="Times New Roman"/>
      <w:color w:val="000000"/>
      <w:lang w:val="en-KE" w:eastAsia="en-KE"/>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8">
    <w:name w:val="l8"/>
    <w:basedOn w:val="DefaultParagraphFont"/>
    <w:rsid w:val="00871491"/>
  </w:style>
  <w:style w:type="character" w:customStyle="1" w:styleId="l9">
    <w:name w:val="l9"/>
    <w:basedOn w:val="DefaultParagraphFont"/>
    <w:rsid w:val="00871491"/>
  </w:style>
  <w:style w:type="character" w:customStyle="1" w:styleId="l6">
    <w:name w:val="l6"/>
    <w:basedOn w:val="DefaultParagraphFont"/>
    <w:rsid w:val="00871491"/>
  </w:style>
  <w:style w:type="character" w:customStyle="1" w:styleId="l7">
    <w:name w:val="l7"/>
    <w:basedOn w:val="DefaultParagraphFont"/>
    <w:rsid w:val="00871491"/>
  </w:style>
  <w:style w:type="character" w:customStyle="1" w:styleId="l10">
    <w:name w:val="l10"/>
    <w:basedOn w:val="DefaultParagraphFont"/>
    <w:rsid w:val="00871491"/>
  </w:style>
  <w:style w:type="character" w:customStyle="1" w:styleId="reference-accessdate">
    <w:name w:val="reference-accessdate"/>
    <w:basedOn w:val="DefaultParagraphFont"/>
    <w:rsid w:val="00871491"/>
  </w:style>
  <w:style w:type="character" w:customStyle="1" w:styleId="ls24">
    <w:name w:val="ls24"/>
    <w:basedOn w:val="DefaultParagraphFont"/>
    <w:rsid w:val="00871491"/>
  </w:style>
  <w:style w:type="character" w:customStyle="1" w:styleId="ls31">
    <w:name w:val="ls31"/>
    <w:basedOn w:val="DefaultParagraphFont"/>
    <w:rsid w:val="00871491"/>
  </w:style>
  <w:style w:type="character" w:customStyle="1" w:styleId="ls36">
    <w:name w:val="ls36"/>
    <w:basedOn w:val="DefaultParagraphFont"/>
    <w:rsid w:val="00871491"/>
  </w:style>
  <w:style w:type="character" w:customStyle="1" w:styleId="ls2e">
    <w:name w:val="ls2e"/>
    <w:basedOn w:val="DefaultParagraphFont"/>
    <w:rsid w:val="00871491"/>
  </w:style>
  <w:style w:type="character" w:customStyle="1" w:styleId="ff4">
    <w:name w:val="ff4"/>
    <w:basedOn w:val="DefaultParagraphFont"/>
    <w:rsid w:val="00871491"/>
  </w:style>
  <w:style w:type="character" w:customStyle="1" w:styleId="ls1d">
    <w:name w:val="ls1d"/>
    <w:basedOn w:val="DefaultParagraphFont"/>
    <w:rsid w:val="00871491"/>
  </w:style>
  <w:style w:type="character" w:customStyle="1" w:styleId="ls38">
    <w:name w:val="ls38"/>
    <w:basedOn w:val="DefaultParagraphFont"/>
    <w:rsid w:val="00871491"/>
  </w:style>
  <w:style w:type="character" w:customStyle="1" w:styleId="ls2d">
    <w:name w:val="ls2d"/>
    <w:basedOn w:val="DefaultParagraphFont"/>
    <w:rsid w:val="00871491"/>
  </w:style>
  <w:style w:type="character" w:customStyle="1" w:styleId="ls32">
    <w:name w:val="ls32"/>
    <w:basedOn w:val="DefaultParagraphFont"/>
    <w:rsid w:val="00871491"/>
  </w:style>
  <w:style w:type="character" w:customStyle="1" w:styleId="txtcolor1">
    <w:name w:val="txt_color1"/>
    <w:basedOn w:val="DefaultParagraphFont"/>
    <w:rsid w:val="00871491"/>
  </w:style>
  <w:style w:type="character" w:customStyle="1" w:styleId="t">
    <w:name w:val="t"/>
    <w:basedOn w:val="DefaultParagraphFont"/>
    <w:rsid w:val="00871491"/>
  </w:style>
  <w:style w:type="character" w:customStyle="1" w:styleId="text">
    <w:name w:val="text"/>
    <w:basedOn w:val="DefaultParagraphFont"/>
    <w:rsid w:val="00871491"/>
  </w:style>
  <w:style w:type="character" w:customStyle="1" w:styleId="anchor-text">
    <w:name w:val="anchor-text"/>
    <w:basedOn w:val="DefaultParagraphFont"/>
    <w:rsid w:val="00871491"/>
  </w:style>
  <w:style w:type="character" w:customStyle="1" w:styleId="f-s-7-1">
    <w:name w:val="f-s-7-1"/>
    <w:basedOn w:val="DefaultParagraphFont"/>
    <w:rsid w:val="00871491"/>
  </w:style>
  <w:style w:type="paragraph" w:customStyle="1" w:styleId="TOCHeading73666b47-b0ba-4b1f-97cc-c27e3b51e296">
    <w:name w:val="TOC Heading_73666b47-b0ba-4b1f-97cc-c27e3b51e296"/>
    <w:basedOn w:val="Heading1"/>
    <w:next w:val="Normal"/>
    <w:uiPriority w:val="39"/>
    <w:qFormat/>
    <w:rsid w:val="00871491"/>
    <w:pPr>
      <w:suppressAutoHyphens w:val="0"/>
      <w:spacing w:before="480" w:after="0" w:line="276" w:lineRule="auto"/>
      <w:jc w:val="center"/>
      <w:outlineLvl w:val="9"/>
    </w:pPr>
    <w:rPr>
      <w:rFonts w:ascii="Calibri Light" w:eastAsia="Times New Roman" w:hAnsi="Calibri Light" w:cs="Times New Roman"/>
      <w:color w:val="2E74B5"/>
      <w:sz w:val="28"/>
      <w:lang w:eastAsia="en-US"/>
    </w:rPr>
  </w:style>
  <w:style w:type="paragraph" w:customStyle="1" w:styleId="Revision8fc08394-cab9-4df7-9053-cfb66a45db04">
    <w:name w:val="Revision_8fc08394-cab9-4df7-9053-cfb66a45db04"/>
    <w:uiPriority w:val="99"/>
    <w:rsid w:val="00871491"/>
    <w:pPr>
      <w:spacing w:after="0" w:line="240" w:lineRule="auto"/>
    </w:pPr>
    <w:rPr>
      <w:rFonts w:ascii="Times New Roman" w:eastAsia="Calibri" w:hAnsi="Times New Roman" w:cs="Times New Roman"/>
      <w:sz w:val="24"/>
    </w:rPr>
  </w:style>
  <w:style w:type="character" w:customStyle="1" w:styleId="overflow-hiddentext-clipwhitespace-nowraptext-sm">
    <w:name w:val="overflow-hidden text-clip whitespace-nowrap text-sm"/>
    <w:basedOn w:val="DefaultParagraphFont"/>
    <w:rsid w:val="00871491"/>
  </w:style>
  <w:style w:type="paragraph" w:customStyle="1" w:styleId="HTMLTopofFormdf1e4416-2c8a-4fa0-a25a-b753689015a9">
    <w:name w:val="HTML Top of Form_df1e4416-2c8a-4fa0-a25a-b753689015a9"/>
    <w:basedOn w:val="Normal"/>
    <w:next w:val="Normal"/>
    <w:uiPriority w:val="99"/>
    <w:rsid w:val="00871491"/>
    <w:pPr>
      <w:pBdr>
        <w:bottom w:val="single" w:sz="6" w:space="1" w:color="auto"/>
      </w:pBdr>
      <w:spacing w:before="0" w:after="0"/>
      <w:jc w:val="center"/>
    </w:pPr>
    <w:rPr>
      <w:rFonts w:ascii="Arial" w:eastAsia="Times New Roman" w:hAnsi="Arial" w:cs="Arial"/>
      <w:vanish/>
      <w:sz w:val="16"/>
      <w:szCs w:val="16"/>
    </w:rPr>
  </w:style>
  <w:style w:type="paragraph" w:customStyle="1" w:styleId="placeholder">
    <w:name w:val="placeholder"/>
    <w:basedOn w:val="Normal"/>
    <w:rsid w:val="00871491"/>
    <w:pPr>
      <w:spacing w:beforeAutospacing="1" w:afterAutospacing="1"/>
      <w:jc w:val="left"/>
    </w:pPr>
    <w:rPr>
      <w:rFonts w:eastAsia="Times New Roman" w:cs="Times New Roman"/>
      <w:szCs w:val="24"/>
    </w:rPr>
  </w:style>
  <w:style w:type="paragraph" w:customStyle="1" w:styleId="HTMLBottomofForm2bac41f6-706f-4740-be9c-dbd086a643cc">
    <w:name w:val="HTML Bottom of Form_2bac41f6-706f-4740-be9c-dbd086a643cc"/>
    <w:basedOn w:val="Normal"/>
    <w:next w:val="Normal"/>
    <w:uiPriority w:val="99"/>
    <w:rsid w:val="00871491"/>
    <w:pPr>
      <w:pBdr>
        <w:top w:val="single" w:sz="6" w:space="1" w:color="auto"/>
      </w:pBdr>
      <w:spacing w:before="0" w:after="0"/>
      <w:jc w:val="center"/>
    </w:pPr>
    <w:rPr>
      <w:rFonts w:ascii="Arial" w:eastAsia="Times New Roman" w:hAnsi="Arial" w:cs="Arial"/>
      <w:vanish/>
      <w:sz w:val="16"/>
      <w:szCs w:val="16"/>
    </w:rPr>
  </w:style>
  <w:style w:type="character" w:customStyle="1" w:styleId="relative">
    <w:name w:val="relative"/>
    <w:rsid w:val="00871491"/>
  </w:style>
  <w:style w:type="table" w:customStyle="1" w:styleId="LightShading2">
    <w:name w:val="Light Shading2"/>
    <w:basedOn w:val="TableNormal"/>
    <w:uiPriority w:val="60"/>
    <w:rsid w:val="00871491"/>
    <w:pPr>
      <w:spacing w:after="0" w:line="240" w:lineRule="auto"/>
    </w:pPr>
    <w:rPr>
      <w:rFonts w:ascii="Calibri" w:eastAsia="Calibri" w:hAnsi="Calibri" w:cs="Times New Roman"/>
      <w:color w:val="000000"/>
      <w:lang w:val="en-KE" w:eastAsia="en-KE"/>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whitespace-nowrap">
    <w:name w:val="whitespace-nowrap!"/>
    <w:basedOn w:val="DefaultParagraphFont"/>
    <w:rsid w:val="00871491"/>
  </w:style>
  <w:style w:type="character" w:customStyle="1" w:styleId="webtitleheader-title">
    <w:name w:val="web_titleheader-title"/>
    <w:basedOn w:val="DefaultParagraphFont"/>
    <w:qFormat/>
    <w:rsid w:val="007F3FC2"/>
  </w:style>
  <w:style w:type="paragraph" w:customStyle="1" w:styleId="whitespace-pre-wrap">
    <w:name w:val="whitespace-pre-wrap"/>
    <w:basedOn w:val="Normal"/>
    <w:rsid w:val="009366AD"/>
    <w:pPr>
      <w:spacing w:beforeAutospacing="1" w:afterAutospacing="1"/>
      <w:jc w:val="left"/>
    </w:pPr>
    <w:rPr>
      <w:rFonts w:eastAsia="Times New Roman" w:cs="Times New Roman"/>
      <w:szCs w:val="24"/>
    </w:rPr>
  </w:style>
  <w:style w:type="paragraph" w:customStyle="1" w:styleId="whitespace-normal">
    <w:name w:val="whitespace-normal"/>
    <w:basedOn w:val="Normal"/>
    <w:rsid w:val="009366AD"/>
    <w:pPr>
      <w:spacing w:beforeAutospacing="1" w:afterAutospacing="1"/>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49595">
      <w:bodyDiv w:val="1"/>
      <w:marLeft w:val="0"/>
      <w:marRight w:val="0"/>
      <w:marTop w:val="0"/>
      <w:marBottom w:val="0"/>
      <w:divBdr>
        <w:top w:val="none" w:sz="0" w:space="0" w:color="auto"/>
        <w:left w:val="none" w:sz="0" w:space="0" w:color="auto"/>
        <w:bottom w:val="none" w:sz="0" w:space="0" w:color="auto"/>
        <w:right w:val="none" w:sz="0" w:space="0" w:color="auto"/>
      </w:divBdr>
    </w:div>
    <w:div w:id="513806041">
      <w:bodyDiv w:val="1"/>
      <w:marLeft w:val="0"/>
      <w:marRight w:val="0"/>
      <w:marTop w:val="0"/>
      <w:marBottom w:val="0"/>
      <w:divBdr>
        <w:top w:val="none" w:sz="0" w:space="0" w:color="auto"/>
        <w:left w:val="none" w:sz="0" w:space="0" w:color="auto"/>
        <w:bottom w:val="none" w:sz="0" w:space="0" w:color="auto"/>
        <w:right w:val="none" w:sz="0" w:space="0" w:color="auto"/>
      </w:divBdr>
    </w:div>
    <w:div w:id="1367826386">
      <w:bodyDiv w:val="1"/>
      <w:marLeft w:val="0"/>
      <w:marRight w:val="0"/>
      <w:marTop w:val="0"/>
      <w:marBottom w:val="0"/>
      <w:divBdr>
        <w:top w:val="none" w:sz="0" w:space="0" w:color="auto"/>
        <w:left w:val="none" w:sz="0" w:space="0" w:color="auto"/>
        <w:bottom w:val="none" w:sz="0" w:space="0" w:color="auto"/>
        <w:right w:val="none" w:sz="0" w:space="0" w:color="auto"/>
      </w:divBdr>
    </w:div>
    <w:div w:id="1394278889">
      <w:bodyDiv w:val="1"/>
      <w:marLeft w:val="0"/>
      <w:marRight w:val="0"/>
      <w:marTop w:val="0"/>
      <w:marBottom w:val="0"/>
      <w:divBdr>
        <w:top w:val="none" w:sz="0" w:space="0" w:color="auto"/>
        <w:left w:val="none" w:sz="0" w:space="0" w:color="auto"/>
        <w:bottom w:val="none" w:sz="0" w:space="0" w:color="auto"/>
        <w:right w:val="none" w:sz="0" w:space="0" w:color="auto"/>
      </w:divBdr>
    </w:div>
    <w:div w:id="1654985029">
      <w:bodyDiv w:val="1"/>
      <w:marLeft w:val="0"/>
      <w:marRight w:val="0"/>
      <w:marTop w:val="0"/>
      <w:marBottom w:val="0"/>
      <w:divBdr>
        <w:top w:val="none" w:sz="0" w:space="0" w:color="auto"/>
        <w:left w:val="none" w:sz="0" w:space="0" w:color="auto"/>
        <w:bottom w:val="none" w:sz="0" w:space="0" w:color="auto"/>
        <w:right w:val="none" w:sz="0" w:space="0" w:color="auto"/>
      </w:divBdr>
    </w:div>
    <w:div w:id="16662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cy.gichohi@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tate.2019.10292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00131644700300030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080/13664530.2018.1533491" TargetMode="External"/><Relationship Id="rId4" Type="http://schemas.openxmlformats.org/officeDocument/2006/relationships/settings" Target="settings.xml"/><Relationship Id="rId9" Type="http://schemas.openxmlformats.org/officeDocument/2006/relationships/hyperlink" Target="https://doi.org/10.1108/1066224121119996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Fat11</b:Tag>
    <b:SourceType>Report</b:SourceType>
    <b:Guid>{2B037C82-EFE5-433F-823B-9317198D6A91}</b:Guid>
    <b:Title>The Role of Human Resourec Practices, Supervisory Support and Work-Life Balance Policies on Employee Intention to Stay: A Study in Oil and Gas Company</b:Title>
    <b:Year>2011</b:Year>
    <b:City>Malaysia</b:City>
    <b:Author>
      <b:Author>
        <b:NameList>
          <b:Person>
            <b:Last>Fathaniy</b:Last>
            <b:First>A.</b:First>
            <b:Middle>Z.</b:Middle>
          </b:Person>
        </b:NameList>
      </b:Author>
    </b:Author>
    <b:Institution>Masters Thesis, Univesiti of Utara</b:Institution>
    <b:RefOrder>1</b:RefOrder>
  </b:Source>
  <b:Source>
    <b:Tag>Chu97</b:Tag>
    <b:SourceType>JournalArticle</b:SourceType>
    <b:Guid>{D65DE8B7-D52A-45B2-9D74-E79026E14179}</b:Guid>
    <b:Year>1997</b:Year>
    <b:Author>
      <b:Author>
        <b:NameList>
          <b:Person>
            <b:Last>Chuah-Petiot</b:Last>
          </b:Person>
        </b:NameList>
      </b:Author>
    </b:Author>
    <b:RefOrder>1</b:RefOrder>
  </b:Source>
  <b:Source>
    <b:Tag>EAW23</b:Tag>
    <b:SourceType>Report</b:SourceType>
    <b:Guid>{3051208A-9365-4ECA-B26B-1EAAD0976516}</b:Guid>
    <b:Title>EAWLS Objects to road upgrade threatening  Aberdare Ecosystem</b:Title>
    <b:Year>2023</b:Year>
    <b:Author>
      <b:Author>
        <b:NameList>
          <b:Person>
            <b:Last>EAWLS</b:Last>
          </b:Person>
        </b:NameList>
      </b:Author>
    </b:Author>
    <b:Publisher>East African Wild Life Society</b:Publisher>
    <b:City>Nairobi</b:City>
    <b:RefOrder>3</b:RefOrder>
  </b:Source>
  <b:Source>
    <b:Tag>FAO20</b:Tag>
    <b:SourceType>Report</b:SourceType>
    <b:Guid>{E47CCEFF-55FF-4424-BFB5-0368F63E5000}</b:Guid>
    <b:Title>The state of world's forests</b:Title>
    <b:Year>2020</b:Year>
    <b:Publisher>Food and Agriculture organization of the United Nations</b:Publisher>
    <b:Author>
      <b:Author>
        <b:NameList>
          <b:Person>
            <b:Last>FAO</b:Last>
          </b:Person>
          <b:Person>
            <b:Last>UNEP</b:Last>
          </b:Person>
        </b:NameList>
      </b:Author>
    </b:Author>
    <b:RefOrder>4</b:RefOrder>
  </b:Source>
  <b:Source>
    <b:Tag>WWF23</b:Tag>
    <b:SourceType>InternetSite</b:SourceType>
    <b:Guid>{7AD6B17E-5BEA-4EA3-8727-26000B6F300A}</b:Guid>
    <b:Author>
      <b:Author>
        <b:NameList>
          <b:Person>
            <b:Last>WWF</b:Last>
          </b:Person>
        </b:NameList>
      </b:Author>
    </b:Author>
    <b:Title>Forest Pathways Report 2023</b:Title>
    <b:Year>2023</b:Year>
    <b:InternetSiteTitle>World Wide Fund for Nature</b:InternetSiteTitle>
    <b:Month>October</b:Month>
    <b:Day>24</b:Day>
    <b:URL>https://www.wwfkenya.org/?236011/Forest-Pathways-Report-2023</b:URL>
    <b:RefOrder>5</b:RefOrder>
  </b:Source>
  <b:Source>
    <b:Tag>Mak04</b:Tag>
    <b:SourceType>InternetSite</b:SourceType>
    <b:Guid>{772C6061-74C9-4C12-A894-A91C56AF9016}</b:Guid>
    <b:Author>
      <b:Author>
        <b:NameList>
          <b:Person>
            <b:Last>Makanji</b:Last>
            <b:First>Lubanga</b:First>
          </b:Person>
          <b:Person>
            <b:Last>Mochida</b:Last>
            <b:First>Haruyuki</b:First>
          </b:Person>
        </b:NameList>
      </b:Author>
    </b:Author>
    <b:Year>2004</b:Year>
    <b:RefOrder>6</b:RefOrder>
  </b:Source>
  <b:Source>
    <b:Tag>Bro12</b:Tag>
    <b:SourceType>InternetSite</b:SourceType>
    <b:Guid>{66364A91-690C-463F-B690-38436CCA3FB6}</b:Guid>
    <b:Author>
      <b:Author>
        <b:NameList>
          <b:Person>
            <b:Last>Browne</b:Last>
            <b:First>C</b:First>
          </b:Person>
          <b:Person>
            <b:Last> Kelly</b:Last>
            <b:Middle>Lena</b:Middle>
            <b:First> Catherine </b:First>
          </b:Person>
          <b:Person>
            <b:Last>Pilgram</b:Last>
            <b:First>Carl </b:First>
          </b:Person>
        </b:NameList>
      </b:Author>
    </b:Author>
    <b:Title>Illegal Logging in Africa and Its Security Implications</b:Title>
    <b:InternetSiteTitle>Africa Center for strategic studies</b:InternetSiteTitle>
    <b:Year>2022</b:Year>
    <b:Month>August</b:Month>
    <b:Day>12</b:Day>
    <b:URL>https://africacenter.org/spotlight/illegal-logging-in-africa-and-its-security-implications/</b:URL>
    <b:RefOrder>7</b:RefOrder>
  </b:Source>
  <b:Source>
    <b:Tag>Glo231</b:Tag>
    <b:SourceType>InternetSite</b:SourceType>
    <b:Guid>{530F36B7-4A22-4504-9383-6CE3866C9772}</b:Guid>
    <b:Author>
      <b:Author>
        <b:NameList>
          <b:Person>
            <b:Last>Global Environment Facility</b:Last>
            <b:First>GEF</b:First>
          </b:Person>
        </b:NameList>
      </b:Author>
    </b:Author>
    <b:Title>Global Environment Facility</b:Title>
    <b:InternetSiteTitle>Sustaining Biodiversity in Landscapes and Seascapes</b:InternetSiteTitle>
    <b:Year>2023</b:Year>
    <b:URL>https://www.thegef.org/what-we-do/topics/biodiversity/sustaining-biodiversity-landscapes-and-seascapes</b:URL>
    <b:RefOrder>8</b:RefOrder>
  </b:Source>
  <b:Source>
    <b:Tag>Ear22</b:Tag>
    <b:SourceType>InternetSite</b:SourceType>
    <b:Guid>{8F2CDF04-1C65-400C-834E-2D109AA7B2B0}</b:Guid>
    <b:Author>
      <b:Author>
        <b:NameList>
          <b:Person>
            <b:Last>Igini</b:Last>
            <b:First>Martina</b:First>
          </b:Person>
        </b:NameList>
      </b:Author>
    </b:Author>
    <b:Title>Deforestation in Africa: Causes, Effects, and Solutions</b:Title>
    <b:InternetSiteTitle>EARTH.ORG</b:InternetSiteTitle>
    <b:Year>2022</b:Year>
    <b:Month>March</b:Month>
    <b:Day>24</b:Day>
    <b:URL>https://earth.org/deforestation-in-africa/</b:URL>
    <b:RefOrder>9</b:RefOrder>
  </b:Source>
  <b:Source>
    <b:Tag>Fra21</b:Tag>
    <b:SourceType>InternetSite</b:SourceType>
    <b:Guid>{9A0CFF12-9AB9-4030-812A-2B60E7ACE639}</b:Guid>
    <b:Author>
      <b:Author>
        <b:NameList>
          <b:Person>
            <b:Last>James</b:Last>
            <b:First>Francis</b:First>
          </b:Person>
        </b:NameList>
      </b:Author>
    </b:Author>
    <b:Title>Gabon leads Africa in the preservation and conservation of forests</b:Title>
    <b:InternetSiteTitle>United Nations Development Programme</b:InternetSiteTitle>
    <b:Year>2021</b:Year>
    <b:Month>July</b:Month>
    <b:Day>23</b:Day>
    <b:URL>https://www.undp.org/africa/blog/gabon-leads-africa-preservation-and-conservation-forests</b:URL>
    <b:RefOrder>10</b:RefOrder>
  </b:Source>
  <b:Source>
    <b:Tag>Kar17</b:Tag>
    <b:SourceType>InternetSite</b:SourceType>
    <b:Guid>{C8C1EBEE-02E3-4BC1-8CCE-9AF65D7B8E82}</b:Guid>
    <b:Author>
      <b:Author>
        <b:NameList>
          <b:Person>
            <b:Last>Karsenty</b:Last>
            <b:First>A</b:First>
          </b:Person>
          <b:Person>
            <b:Last>Hardin</b:Last>
            <b:First>R</b:First>
          </b:Person>
        </b:NameList>
      </b:Author>
    </b:Author>
    <b:Year>2017</b:Year>
    <b:RefOrder>11</b:RefOrder>
  </b:Source>
  <b:Source>
    <b:Tag>KWS101</b:Tag>
    <b:SourceType>Report</b:SourceType>
    <b:Guid>{809DE726-24F9-408E-B1C7-65891EABB89E}</b:Guid>
    <b:Author>
      <b:Author>
        <b:NameList>
          <b:Person>
            <b:Last>KWS</b:Last>
          </b:Person>
          <b:Person>
            <b:Last>KFS</b:Last>
          </b:Person>
        </b:NameList>
      </b:Author>
    </b:Author>
    <b:Year>2010</b:Year>
    <b:RefOrder>16</b:RefOrder>
  </b:Source>
</b:Sources>
</file>

<file path=customXml/itemProps1.xml><?xml version="1.0" encoding="utf-8"?>
<ds:datastoreItem xmlns:ds="http://schemas.openxmlformats.org/officeDocument/2006/customXml" ds:itemID="{E87D9253-BFEA-4B38-B126-7B1B0CA8D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7455</Words>
  <Characters>42500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Avatar 2</dc:creator>
  <cp:lastModifiedBy>ADMIN</cp:lastModifiedBy>
  <cp:revision>3</cp:revision>
  <cp:lastPrinted>2026-05-25T16:21:00Z</cp:lastPrinted>
  <dcterms:created xsi:type="dcterms:W3CDTF">2026-06-01T15:47:00Z</dcterms:created>
  <dcterms:modified xsi:type="dcterms:W3CDTF">2026-06-01T16:01:00Z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50825194-e0b0-420a-8bbe-ce8d70b3fab7</vt:lpwstr>
  </property>
</Properties>
</file>